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0596D" w14:textId="0CF14CBA" w:rsidR="00F06D8C" w:rsidRDefault="006E318D">
      <w:pPr>
        <w:pBdr>
          <w:top w:val="nil"/>
          <w:left w:val="nil"/>
          <w:bottom w:val="nil"/>
          <w:right w:val="nil"/>
          <w:between w:val="nil"/>
        </w:pBdr>
        <w:spacing w:after="240"/>
        <w:jc w:val="center"/>
        <w:rPr>
          <w:rFonts w:ascii="Cambria" w:eastAsia="Cambria" w:hAnsi="Cambria" w:cs="Cambria"/>
          <w:b/>
          <w:bCs/>
          <w:color w:val="000000"/>
          <w:sz w:val="32"/>
          <w:szCs w:val="32"/>
        </w:rPr>
      </w:pPr>
      <w:r w:rsidRPr="006E318D">
        <w:rPr>
          <w:rFonts w:ascii="Cambria" w:eastAsia="Cambria" w:hAnsi="Cambria" w:cs="Cambria"/>
          <w:b/>
          <w:bCs/>
          <w:color w:val="000000"/>
          <w:sz w:val="32"/>
          <w:szCs w:val="32"/>
        </w:rPr>
        <w:t xml:space="preserve">Controversial Issues in Contemporary Fiqh Education: Developing Students' Critical Thinking in Madrasah </w:t>
      </w:r>
      <w:proofErr w:type="spellStart"/>
      <w:r w:rsidRPr="006E318D">
        <w:rPr>
          <w:rFonts w:ascii="Cambria" w:eastAsia="Cambria" w:hAnsi="Cambria" w:cs="Cambria"/>
          <w:b/>
          <w:bCs/>
          <w:color w:val="000000"/>
          <w:sz w:val="32"/>
          <w:szCs w:val="32"/>
        </w:rPr>
        <w:t>Tsanawiyah</w:t>
      </w:r>
      <w:proofErr w:type="spellEnd"/>
    </w:p>
    <w:p w14:paraId="4C73A8DA" w14:textId="541A1E6C" w:rsidR="00F06D8C" w:rsidRDefault="00000000">
      <w:pPr>
        <w:pBdr>
          <w:top w:val="nil"/>
          <w:left w:val="nil"/>
          <w:bottom w:val="nil"/>
          <w:right w:val="nil"/>
          <w:between w:val="nil"/>
        </w:pBdr>
        <w:spacing w:after="240"/>
        <w:jc w:val="center"/>
        <w:rPr>
          <w:rFonts w:ascii="Cambria" w:eastAsia="Cambria" w:hAnsi="Cambria" w:cs="Cambria"/>
          <w:b/>
          <w:bCs/>
          <w:color w:val="000000"/>
          <w:sz w:val="20"/>
          <w:szCs w:val="20"/>
        </w:rPr>
      </w:pPr>
      <w:r>
        <w:rPr>
          <w:rFonts w:ascii="Cambria" w:eastAsia="Cambria" w:hAnsi="Cambria" w:cs="Cambria"/>
          <w:b/>
          <w:bCs/>
          <w:color w:val="000000"/>
          <w:sz w:val="20"/>
          <w:szCs w:val="20"/>
          <w:vertAlign w:val="superscript"/>
        </w:rPr>
        <w:t>1)</w:t>
      </w:r>
      <w:r w:rsidR="006E318D">
        <w:rPr>
          <w:rFonts w:ascii="Cambria" w:eastAsia="Cambria" w:hAnsi="Cambria" w:cs="Cambria"/>
          <w:b/>
          <w:bCs/>
          <w:sz w:val="20"/>
          <w:szCs w:val="20"/>
        </w:rPr>
        <w:t xml:space="preserve">  Ahmad Rif</w:t>
      </w:r>
      <w:r w:rsidR="00D64BFD">
        <w:rPr>
          <w:rFonts w:ascii="Cambria" w:eastAsia="Cambria" w:hAnsi="Cambria" w:cs="Cambria"/>
          <w:b/>
          <w:bCs/>
          <w:sz w:val="20"/>
          <w:szCs w:val="20"/>
        </w:rPr>
        <w:t>a</w:t>
      </w:r>
      <w:r w:rsidR="006E318D">
        <w:rPr>
          <w:rFonts w:ascii="Cambria" w:eastAsia="Cambria" w:hAnsi="Cambria" w:cs="Cambria"/>
          <w:b/>
          <w:bCs/>
          <w:sz w:val="20"/>
          <w:szCs w:val="20"/>
        </w:rPr>
        <w:t>i</w:t>
      </w:r>
      <w:r>
        <w:rPr>
          <w:rFonts w:ascii="Cambria" w:eastAsia="Cambria" w:hAnsi="Cambria" w:cs="Cambria"/>
          <w:b/>
          <w:bCs/>
          <w:color w:val="000000"/>
          <w:sz w:val="20"/>
          <w:szCs w:val="20"/>
        </w:rPr>
        <w:t xml:space="preserve">, </w:t>
      </w:r>
      <w:r>
        <w:rPr>
          <w:rFonts w:ascii="Cambria" w:eastAsia="Cambria" w:hAnsi="Cambria" w:cs="Cambria"/>
          <w:b/>
          <w:bCs/>
          <w:color w:val="000000"/>
          <w:sz w:val="20"/>
          <w:szCs w:val="20"/>
          <w:vertAlign w:val="superscript"/>
        </w:rPr>
        <w:t>2</w:t>
      </w:r>
      <w:proofErr w:type="gramStart"/>
      <w:r>
        <w:rPr>
          <w:rFonts w:ascii="Cambria" w:eastAsia="Cambria" w:hAnsi="Cambria" w:cs="Cambria"/>
          <w:b/>
          <w:bCs/>
          <w:color w:val="000000"/>
          <w:sz w:val="20"/>
          <w:szCs w:val="20"/>
          <w:vertAlign w:val="superscript"/>
        </w:rPr>
        <w:t>)</w:t>
      </w:r>
      <w:r w:rsidR="003736FC">
        <w:rPr>
          <w:rFonts w:ascii="Cambria" w:eastAsia="Cambria" w:hAnsi="Cambria" w:cs="Cambria"/>
          <w:b/>
          <w:bCs/>
          <w:color w:val="000000"/>
          <w:sz w:val="20"/>
          <w:szCs w:val="20"/>
        </w:rPr>
        <w:t xml:space="preserve">  Arim</w:t>
      </w:r>
      <w:proofErr w:type="gramEnd"/>
      <w:r w:rsidR="003736FC">
        <w:rPr>
          <w:rFonts w:ascii="Cambria" w:eastAsia="Cambria" w:hAnsi="Cambria" w:cs="Cambria"/>
          <w:b/>
          <w:bCs/>
          <w:color w:val="000000"/>
          <w:sz w:val="20"/>
          <w:szCs w:val="20"/>
        </w:rPr>
        <w:t xml:space="preserve"> </w:t>
      </w:r>
      <w:proofErr w:type="spellStart"/>
      <w:r w:rsidR="003736FC">
        <w:rPr>
          <w:rFonts w:ascii="Cambria" w:eastAsia="Cambria" w:hAnsi="Cambria" w:cs="Cambria"/>
          <w:b/>
          <w:bCs/>
          <w:color w:val="000000"/>
          <w:sz w:val="20"/>
          <w:szCs w:val="20"/>
        </w:rPr>
        <w:t>Irsyadulloh</w:t>
      </w:r>
      <w:proofErr w:type="spellEnd"/>
      <w:r w:rsidR="003736FC">
        <w:rPr>
          <w:rFonts w:ascii="Cambria" w:eastAsia="Cambria" w:hAnsi="Cambria" w:cs="Cambria"/>
          <w:b/>
          <w:bCs/>
          <w:color w:val="000000"/>
          <w:sz w:val="20"/>
          <w:szCs w:val="20"/>
        </w:rPr>
        <w:t xml:space="preserve"> Albin Jaya</w:t>
      </w:r>
    </w:p>
    <w:p w14:paraId="2D5CFE39" w14:textId="55B9F4FB" w:rsidR="00F06D8C" w:rsidRDefault="00B10C74">
      <w:pPr>
        <w:spacing w:after="240"/>
        <w:jc w:val="center"/>
        <w:rPr>
          <w:rFonts w:ascii="Cambria" w:eastAsia="Cambria" w:hAnsi="Cambria" w:cs="Cambria"/>
          <w:sz w:val="20"/>
          <w:szCs w:val="20"/>
        </w:rPr>
      </w:pPr>
      <w:r>
        <w:rPr>
          <w:rFonts w:ascii="Cambria" w:eastAsia="Cambria" w:hAnsi="Cambria" w:cs="Cambria"/>
          <w:sz w:val="20"/>
          <w:szCs w:val="20"/>
          <w:vertAlign w:val="superscript"/>
        </w:rPr>
        <w:t>1,</w:t>
      </w:r>
      <w:r w:rsidR="003736FC">
        <w:rPr>
          <w:rFonts w:ascii="Cambria" w:eastAsia="Cambria" w:hAnsi="Cambria" w:cs="Cambria"/>
          <w:sz w:val="20"/>
          <w:szCs w:val="20"/>
          <w:vertAlign w:val="superscript"/>
        </w:rPr>
        <w:t>2</w:t>
      </w:r>
      <w:proofErr w:type="gramStart"/>
      <w:r w:rsidR="003736FC">
        <w:rPr>
          <w:rFonts w:ascii="Cambria" w:eastAsia="Cambria" w:hAnsi="Cambria" w:cs="Cambria"/>
          <w:sz w:val="20"/>
          <w:szCs w:val="20"/>
          <w:vertAlign w:val="superscript"/>
        </w:rPr>
        <w:t>)</w:t>
      </w:r>
      <w:r w:rsidR="003736FC">
        <w:rPr>
          <w:rFonts w:ascii="Cambria" w:eastAsia="Cambria" w:hAnsi="Cambria" w:cs="Cambria"/>
          <w:sz w:val="20"/>
          <w:szCs w:val="20"/>
        </w:rPr>
        <w:t xml:space="preserve">  Islamic</w:t>
      </w:r>
      <w:proofErr w:type="gramEnd"/>
      <w:r w:rsidR="003736FC">
        <w:rPr>
          <w:rFonts w:ascii="Cambria" w:eastAsia="Cambria" w:hAnsi="Cambria" w:cs="Cambria"/>
          <w:sz w:val="20"/>
          <w:szCs w:val="20"/>
        </w:rPr>
        <w:t xml:space="preserve"> Education, </w:t>
      </w:r>
      <w:proofErr w:type="spellStart"/>
      <w:r w:rsidR="003736FC" w:rsidRPr="00E036E3">
        <w:rPr>
          <w:rFonts w:ascii="Cambria" w:eastAsia="Cambria" w:hAnsi="Cambria" w:cs="Cambria"/>
          <w:sz w:val="20"/>
          <w:szCs w:val="20"/>
        </w:rPr>
        <w:t>Khozinatul</w:t>
      </w:r>
      <w:proofErr w:type="spellEnd"/>
      <w:r w:rsidR="003736FC" w:rsidRPr="00E036E3">
        <w:rPr>
          <w:rFonts w:ascii="Cambria" w:eastAsia="Cambria" w:hAnsi="Cambria" w:cs="Cambria"/>
          <w:sz w:val="20"/>
          <w:szCs w:val="20"/>
        </w:rPr>
        <w:t xml:space="preserve"> </w:t>
      </w:r>
      <w:proofErr w:type="spellStart"/>
      <w:r w:rsidR="003736FC" w:rsidRPr="00E036E3">
        <w:rPr>
          <w:rFonts w:ascii="Cambria" w:eastAsia="Cambria" w:hAnsi="Cambria" w:cs="Cambria"/>
          <w:sz w:val="20"/>
          <w:szCs w:val="20"/>
        </w:rPr>
        <w:t>Ulum</w:t>
      </w:r>
      <w:proofErr w:type="spellEnd"/>
      <w:r w:rsidR="003736FC" w:rsidRPr="00E036E3">
        <w:rPr>
          <w:rFonts w:ascii="Cambria" w:eastAsia="Cambria" w:hAnsi="Cambria" w:cs="Cambria"/>
          <w:sz w:val="20"/>
          <w:szCs w:val="20"/>
        </w:rPr>
        <w:t xml:space="preserve"> Islamic Institute, </w:t>
      </w:r>
      <w:proofErr w:type="spellStart"/>
      <w:r w:rsidR="003736FC" w:rsidRPr="00E036E3">
        <w:rPr>
          <w:rFonts w:ascii="Cambria" w:eastAsia="Cambria" w:hAnsi="Cambria" w:cs="Cambria"/>
          <w:sz w:val="20"/>
          <w:szCs w:val="20"/>
        </w:rPr>
        <w:t>Blora</w:t>
      </w:r>
      <w:proofErr w:type="spellEnd"/>
    </w:p>
    <w:p w14:paraId="6391ABBE" w14:textId="1E98A9A4" w:rsidR="00F06D8C" w:rsidRDefault="00000000">
      <w:pPr>
        <w:jc w:val="center"/>
        <w:rPr>
          <w:rFonts w:ascii="Cambria" w:eastAsia="Cambria" w:hAnsi="Cambria" w:cs="Cambria"/>
          <w:b/>
          <w:bCs/>
          <w:sz w:val="16"/>
          <w:szCs w:val="16"/>
        </w:rPr>
      </w:pPr>
      <w:r>
        <w:rPr>
          <w:rFonts w:ascii="Cambria" w:eastAsia="Cambria" w:hAnsi="Cambria" w:cs="Cambria"/>
          <w:b/>
          <w:bCs/>
          <w:sz w:val="16"/>
          <w:szCs w:val="16"/>
        </w:rPr>
        <w:t>*Corresponding Author:</w:t>
      </w:r>
      <w:r w:rsidR="003736FC">
        <w:rPr>
          <w:rFonts w:ascii="Cambria" w:eastAsia="Cambria" w:hAnsi="Cambria" w:cs="Cambria"/>
          <w:b/>
          <w:bCs/>
          <w:sz w:val="16"/>
          <w:szCs w:val="16"/>
        </w:rPr>
        <w:t xml:space="preserve"> ahmadri</w:t>
      </w:r>
      <w:r w:rsidR="00D64BFD">
        <w:rPr>
          <w:rFonts w:ascii="Cambria" w:eastAsia="Cambria" w:hAnsi="Cambria" w:cs="Cambria"/>
          <w:b/>
          <w:bCs/>
          <w:sz w:val="16"/>
          <w:szCs w:val="16"/>
        </w:rPr>
        <w:t>e</w:t>
      </w:r>
      <w:r w:rsidR="003736FC">
        <w:rPr>
          <w:rFonts w:ascii="Cambria" w:eastAsia="Cambria" w:hAnsi="Cambria" w:cs="Cambria"/>
          <w:b/>
          <w:bCs/>
          <w:sz w:val="16"/>
          <w:szCs w:val="16"/>
        </w:rPr>
        <w:t>fai</w:t>
      </w:r>
      <w:r w:rsidR="00D64BFD">
        <w:rPr>
          <w:rFonts w:ascii="Cambria" w:eastAsia="Cambria" w:hAnsi="Cambria" w:cs="Cambria"/>
          <w:b/>
          <w:bCs/>
          <w:sz w:val="16"/>
          <w:szCs w:val="16"/>
        </w:rPr>
        <w:t>913</w:t>
      </w:r>
      <w:r w:rsidR="003736FC">
        <w:rPr>
          <w:rFonts w:ascii="Cambria" w:eastAsia="Cambria" w:hAnsi="Cambria" w:cs="Cambria"/>
          <w:b/>
          <w:bCs/>
          <w:sz w:val="16"/>
          <w:szCs w:val="16"/>
        </w:rPr>
        <w:t>@iaiku.ac.id</w:t>
      </w:r>
    </w:p>
    <w:tbl>
      <w:tblPr>
        <w:tblStyle w:val="a"/>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5"/>
        <w:gridCol w:w="283"/>
        <w:gridCol w:w="7338"/>
      </w:tblGrid>
      <w:tr w:rsidR="00F06D8C" w14:paraId="0201D732" w14:textId="77777777">
        <w:tc>
          <w:tcPr>
            <w:tcW w:w="1735" w:type="dxa"/>
            <w:tcBorders>
              <w:top w:val="single" w:sz="4" w:space="0" w:color="000000"/>
              <w:left w:val="nil"/>
              <w:bottom w:val="single" w:sz="4" w:space="0" w:color="000000"/>
              <w:right w:val="nil"/>
            </w:tcBorders>
          </w:tcPr>
          <w:p w14:paraId="6CF76F0B" w14:textId="77777777" w:rsidR="00F06D8C" w:rsidRDefault="00000000">
            <w:pPr>
              <w:spacing w:before="120"/>
              <w:rPr>
                <w:rFonts w:ascii="Cambria" w:eastAsia="Cambria" w:hAnsi="Cambria" w:cs="Cambria"/>
                <w:b/>
                <w:bCs/>
                <w:i/>
                <w:iCs/>
              </w:rPr>
            </w:pPr>
            <w:r>
              <w:rPr>
                <w:rFonts w:ascii="Cambria" w:eastAsia="Cambria" w:hAnsi="Cambria" w:cs="Cambria"/>
                <w:b/>
                <w:bCs/>
                <w:i/>
                <w:iCs/>
              </w:rPr>
              <w:t>Article Info</w:t>
            </w:r>
          </w:p>
        </w:tc>
        <w:tc>
          <w:tcPr>
            <w:tcW w:w="283" w:type="dxa"/>
            <w:tcBorders>
              <w:top w:val="single" w:sz="4" w:space="0" w:color="000000"/>
              <w:left w:val="nil"/>
              <w:bottom w:val="nil"/>
              <w:right w:val="nil"/>
            </w:tcBorders>
          </w:tcPr>
          <w:p w14:paraId="6B6BF394" w14:textId="77777777" w:rsidR="00F06D8C" w:rsidRDefault="00F06D8C">
            <w:pPr>
              <w:spacing w:before="120"/>
              <w:jc w:val="center"/>
              <w:rPr>
                <w:rFonts w:ascii="Cambria" w:eastAsia="Cambria" w:hAnsi="Cambria" w:cs="Cambria"/>
                <w:sz w:val="24"/>
                <w:szCs w:val="24"/>
              </w:rPr>
            </w:pPr>
          </w:p>
        </w:tc>
        <w:tc>
          <w:tcPr>
            <w:tcW w:w="7338" w:type="dxa"/>
            <w:tcBorders>
              <w:top w:val="single" w:sz="4" w:space="0" w:color="000000"/>
              <w:left w:val="nil"/>
              <w:bottom w:val="single" w:sz="4" w:space="0" w:color="000000"/>
              <w:right w:val="nil"/>
            </w:tcBorders>
          </w:tcPr>
          <w:p w14:paraId="276C54E7" w14:textId="77777777" w:rsidR="00F06D8C" w:rsidRDefault="00000000">
            <w:pPr>
              <w:spacing w:before="120"/>
              <w:rPr>
                <w:rFonts w:ascii="Cambria" w:eastAsia="Cambria" w:hAnsi="Cambria" w:cs="Cambria"/>
                <w:sz w:val="24"/>
                <w:szCs w:val="24"/>
              </w:rPr>
            </w:pPr>
            <w:r>
              <w:rPr>
                <w:rFonts w:ascii="Cambria" w:eastAsia="Cambria" w:hAnsi="Cambria" w:cs="Cambria"/>
                <w:b/>
                <w:bCs/>
                <w:sz w:val="24"/>
                <w:szCs w:val="24"/>
              </w:rPr>
              <w:t xml:space="preserve">ABSTRACT </w:t>
            </w:r>
          </w:p>
        </w:tc>
      </w:tr>
      <w:tr w:rsidR="00F06D8C" w14:paraId="0B2B1F0C" w14:textId="77777777">
        <w:trPr>
          <w:trHeight w:val="2455"/>
        </w:trPr>
        <w:tc>
          <w:tcPr>
            <w:tcW w:w="1735" w:type="dxa"/>
            <w:tcBorders>
              <w:top w:val="single" w:sz="4" w:space="0" w:color="000000"/>
              <w:left w:val="nil"/>
              <w:right w:val="nil"/>
            </w:tcBorders>
          </w:tcPr>
          <w:p w14:paraId="1BA95243" w14:textId="77777777" w:rsidR="00F06D8C" w:rsidRDefault="00000000">
            <w:pPr>
              <w:spacing w:before="120" w:after="120"/>
              <w:rPr>
                <w:rFonts w:ascii="Cambria" w:eastAsia="Cambria" w:hAnsi="Cambria" w:cs="Cambria"/>
                <w:b/>
                <w:bCs/>
                <w:i/>
                <w:iCs/>
              </w:rPr>
            </w:pPr>
            <w:r>
              <w:rPr>
                <w:rFonts w:ascii="Cambria" w:eastAsia="Cambria" w:hAnsi="Cambria" w:cs="Cambria"/>
                <w:b/>
                <w:bCs/>
                <w:i/>
                <w:iCs/>
              </w:rPr>
              <w:t>Keywords:</w:t>
            </w:r>
          </w:p>
          <w:p w14:paraId="33522124" w14:textId="3429A180" w:rsidR="00F06D8C" w:rsidRDefault="00FB0F90">
            <w:pPr>
              <w:rPr>
                <w:rFonts w:ascii="Cambria" w:eastAsia="Cambria" w:hAnsi="Cambria" w:cs="Cambria"/>
                <w:i/>
                <w:iCs/>
              </w:rPr>
            </w:pPr>
            <w:r w:rsidRPr="00FB0F90">
              <w:rPr>
                <w:rFonts w:ascii="Cambria" w:eastAsia="Cambria" w:hAnsi="Cambria" w:cs="Cambria"/>
                <w:i/>
                <w:iCs/>
              </w:rPr>
              <w:t xml:space="preserve">Controversial Issues; critical thinking; contemporary </w:t>
            </w:r>
            <w:proofErr w:type="spellStart"/>
            <w:r w:rsidRPr="00FB0F90">
              <w:rPr>
                <w:rFonts w:ascii="Cambria" w:eastAsia="Cambria" w:hAnsi="Cambria" w:cs="Cambria"/>
                <w:i/>
                <w:iCs/>
              </w:rPr>
              <w:t>fiqh</w:t>
            </w:r>
            <w:proofErr w:type="spellEnd"/>
            <w:r w:rsidRPr="00FB0F90">
              <w:rPr>
                <w:rFonts w:ascii="Cambria" w:eastAsia="Cambria" w:hAnsi="Cambria" w:cs="Cambria"/>
                <w:i/>
                <w:iCs/>
              </w:rPr>
              <w:t xml:space="preserve">; Islamic Education; Madrasah </w:t>
            </w:r>
            <w:proofErr w:type="spellStart"/>
            <w:r w:rsidRPr="00FB0F90">
              <w:rPr>
                <w:rFonts w:ascii="Cambria" w:eastAsia="Cambria" w:hAnsi="Cambria" w:cs="Cambria"/>
                <w:i/>
                <w:iCs/>
              </w:rPr>
              <w:t>Tsanawiyah</w:t>
            </w:r>
            <w:proofErr w:type="spellEnd"/>
            <w:r w:rsidRPr="00FB0F90">
              <w:rPr>
                <w:rFonts w:ascii="Cambria" w:eastAsia="Cambria" w:hAnsi="Cambria" w:cs="Cambria"/>
                <w:i/>
                <w:iCs/>
              </w:rPr>
              <w:t>;</w:t>
            </w:r>
          </w:p>
          <w:p w14:paraId="70CE35FF" w14:textId="77777777" w:rsidR="00F06D8C" w:rsidRDefault="00F06D8C"/>
        </w:tc>
        <w:tc>
          <w:tcPr>
            <w:tcW w:w="283" w:type="dxa"/>
            <w:tcBorders>
              <w:top w:val="nil"/>
              <w:left w:val="nil"/>
              <w:bottom w:val="nil"/>
              <w:right w:val="nil"/>
            </w:tcBorders>
          </w:tcPr>
          <w:p w14:paraId="31FA6243" w14:textId="77777777" w:rsidR="00F06D8C" w:rsidRDefault="00F06D8C">
            <w:pPr>
              <w:spacing w:before="120"/>
            </w:pPr>
          </w:p>
        </w:tc>
        <w:tc>
          <w:tcPr>
            <w:tcW w:w="7338" w:type="dxa"/>
            <w:tcBorders>
              <w:top w:val="single" w:sz="4" w:space="0" w:color="000000"/>
              <w:left w:val="nil"/>
              <w:bottom w:val="single" w:sz="4" w:space="0" w:color="000000"/>
              <w:right w:val="nil"/>
            </w:tcBorders>
            <w:shd w:val="clear" w:color="auto" w:fill="DBE5F1"/>
          </w:tcPr>
          <w:p w14:paraId="6D986A18" w14:textId="08D4FF7F" w:rsidR="00F06D8C" w:rsidRDefault="00FB0F90">
            <w:pPr>
              <w:pBdr>
                <w:top w:val="nil"/>
                <w:left w:val="nil"/>
                <w:bottom w:val="nil"/>
                <w:right w:val="nil"/>
                <w:between w:val="nil"/>
              </w:pBdr>
              <w:spacing w:before="120" w:after="120"/>
              <w:rPr>
                <w:rFonts w:ascii="Cambria" w:eastAsia="Cambria" w:hAnsi="Cambria" w:cs="Cambria"/>
              </w:rPr>
            </w:pPr>
            <w:r w:rsidRPr="00BF3E24">
              <w:rPr>
                <w:rFonts w:ascii="Cambria" w:eastAsia="Cambria" w:hAnsi="Cambria" w:cs="Cambria"/>
              </w:rPr>
              <w:t xml:space="preserve">Teaching contemporary </w:t>
            </w:r>
            <w:proofErr w:type="spellStart"/>
            <w:r w:rsidRPr="00BF3E24">
              <w:rPr>
                <w:rFonts w:ascii="Cambria" w:eastAsia="Cambria" w:hAnsi="Cambria" w:cs="Cambria"/>
              </w:rPr>
              <w:t>fiqh</w:t>
            </w:r>
            <w:proofErr w:type="spellEnd"/>
            <w:r w:rsidRPr="00BF3E24">
              <w:rPr>
                <w:rFonts w:ascii="Cambria" w:eastAsia="Cambria" w:hAnsi="Cambria" w:cs="Cambria"/>
              </w:rPr>
              <w:t xml:space="preserve"> requires an approach that enables students to understand complex issues, consider various perspectives, and develop reasoned judgments. This study aims to analyze the implementation of the “Controversial Issues” pedagogy, the development of students’ critical thinking, and the supporting and inhibiting factors at </w:t>
            </w:r>
            <w:proofErr w:type="spellStart"/>
            <w:r w:rsidRPr="00BF3E24">
              <w:rPr>
                <w:rFonts w:ascii="Cambria" w:eastAsia="Cambria" w:hAnsi="Cambria" w:cs="Cambria"/>
              </w:rPr>
              <w:t>MTsN</w:t>
            </w:r>
            <w:proofErr w:type="spellEnd"/>
            <w:r w:rsidRPr="00BF3E24">
              <w:rPr>
                <w:rFonts w:ascii="Cambria" w:eastAsia="Cambria" w:hAnsi="Cambria" w:cs="Cambria"/>
              </w:rPr>
              <w:t xml:space="preserve"> 3 </w:t>
            </w:r>
            <w:proofErr w:type="spellStart"/>
            <w:r w:rsidRPr="00BF3E24">
              <w:rPr>
                <w:rFonts w:ascii="Cambria" w:eastAsia="Cambria" w:hAnsi="Cambria" w:cs="Cambria"/>
              </w:rPr>
              <w:t>Rembang</w:t>
            </w:r>
            <w:proofErr w:type="spellEnd"/>
            <w:r w:rsidRPr="00BF3E24">
              <w:rPr>
                <w:rFonts w:ascii="Cambria" w:eastAsia="Cambria" w:hAnsi="Cambria" w:cs="Cambria"/>
              </w:rPr>
              <w:t xml:space="preserve">. The study employed a qualitative approach using a case study design. Data were collected through participatory observation, in-depth interviews with the madrasah principal, </w:t>
            </w:r>
            <w:proofErr w:type="spellStart"/>
            <w:r w:rsidRPr="00BF3E24">
              <w:rPr>
                <w:rFonts w:ascii="Cambria" w:eastAsia="Cambria" w:hAnsi="Cambria" w:cs="Cambria"/>
              </w:rPr>
              <w:t>fiqh</w:t>
            </w:r>
            <w:proofErr w:type="spellEnd"/>
            <w:r w:rsidRPr="00BF3E24">
              <w:rPr>
                <w:rFonts w:ascii="Cambria" w:eastAsia="Cambria" w:hAnsi="Cambria" w:cs="Cambria"/>
              </w:rPr>
              <w:t xml:space="preserve"> teachers, and students, as well as document analysis. Data analysis included data condensation, data presentation, and the drawing and verification of conclusions, with credibility ensured through source triangulation, methodological triangulation, and member checking. The results of the study indicate that the “Controversial Issues” pedagogy was implemented through the selection of contextual </w:t>
            </w:r>
            <w:proofErr w:type="spellStart"/>
            <w:r w:rsidRPr="00BF3E24">
              <w:rPr>
                <w:rFonts w:ascii="Cambria" w:eastAsia="Cambria" w:hAnsi="Cambria" w:cs="Cambria"/>
              </w:rPr>
              <w:t>fiqh</w:t>
            </w:r>
            <w:proofErr w:type="spellEnd"/>
            <w:r w:rsidRPr="00BF3E24">
              <w:rPr>
                <w:rFonts w:ascii="Cambria" w:eastAsia="Cambria" w:hAnsi="Cambria" w:cs="Cambria"/>
              </w:rPr>
              <w:t xml:space="preserve"> issues, exploration of legal sources, group discussions, the exchange of perspectives, argumentation, and teacher mediation. The development of critical thinking was evident in the students’ ability to understand issues, recognize differences, examine sources and arguments, evaluate reasoning, formulate reasoned judgments, and respond to differences politely. Teacher readiness, learning resources, classroom conditions, and student participation supported this process, while passive students and environmental distractions posed challenges.</w:t>
            </w:r>
          </w:p>
        </w:tc>
      </w:tr>
      <w:tr w:rsidR="00F06D8C" w14:paraId="7D012311" w14:textId="77777777">
        <w:trPr>
          <w:trHeight w:val="70"/>
        </w:trPr>
        <w:tc>
          <w:tcPr>
            <w:tcW w:w="1735" w:type="dxa"/>
            <w:tcBorders>
              <w:top w:val="single" w:sz="4" w:space="0" w:color="000000"/>
              <w:left w:val="nil"/>
              <w:bottom w:val="single" w:sz="4" w:space="0" w:color="000000"/>
              <w:right w:val="nil"/>
            </w:tcBorders>
          </w:tcPr>
          <w:p w14:paraId="1052BA72" w14:textId="77777777" w:rsidR="00F06D8C" w:rsidRDefault="00000000">
            <w:pPr>
              <w:spacing w:before="120"/>
              <w:rPr>
                <w:rFonts w:ascii="Cambria" w:eastAsia="Cambria" w:hAnsi="Cambria" w:cs="Cambria"/>
                <w:b/>
                <w:bCs/>
              </w:rPr>
            </w:pPr>
            <w:r>
              <w:rPr>
                <w:rFonts w:ascii="Cambria" w:eastAsia="Cambria" w:hAnsi="Cambria" w:cs="Cambria"/>
                <w:b/>
                <w:bCs/>
              </w:rPr>
              <w:t>Article Information</w:t>
            </w:r>
          </w:p>
        </w:tc>
        <w:tc>
          <w:tcPr>
            <w:tcW w:w="283" w:type="dxa"/>
            <w:tcBorders>
              <w:top w:val="nil"/>
              <w:left w:val="nil"/>
              <w:bottom w:val="nil"/>
              <w:right w:val="nil"/>
            </w:tcBorders>
          </w:tcPr>
          <w:p w14:paraId="50C76BE6" w14:textId="77777777" w:rsidR="00F06D8C" w:rsidRDefault="00F06D8C">
            <w:pPr>
              <w:spacing w:before="120"/>
              <w:rPr>
                <w:rFonts w:ascii="Cambria" w:eastAsia="Cambria" w:hAnsi="Cambria" w:cs="Cambria"/>
                <w:sz w:val="24"/>
                <w:szCs w:val="24"/>
              </w:rPr>
            </w:pPr>
          </w:p>
        </w:tc>
        <w:tc>
          <w:tcPr>
            <w:tcW w:w="7338" w:type="dxa"/>
            <w:tcBorders>
              <w:top w:val="nil"/>
              <w:left w:val="nil"/>
              <w:bottom w:val="single" w:sz="4" w:space="0" w:color="000000"/>
              <w:right w:val="nil"/>
            </w:tcBorders>
          </w:tcPr>
          <w:p w14:paraId="0D833125" w14:textId="77777777" w:rsidR="00F06D8C" w:rsidRDefault="00000000">
            <w:pPr>
              <w:spacing w:before="120" w:after="120"/>
              <w:rPr>
                <w:rFonts w:ascii="Cambria" w:eastAsia="Cambria" w:hAnsi="Cambria" w:cs="Cambria"/>
                <w:sz w:val="24"/>
                <w:szCs w:val="24"/>
              </w:rPr>
            </w:pPr>
            <w:r>
              <w:rPr>
                <w:rFonts w:ascii="Cambria" w:eastAsia="Cambria" w:hAnsi="Cambria" w:cs="Cambria"/>
                <w:b/>
                <w:bCs/>
                <w:sz w:val="24"/>
                <w:szCs w:val="24"/>
              </w:rPr>
              <w:t xml:space="preserve">ABSTRACT </w:t>
            </w:r>
          </w:p>
        </w:tc>
      </w:tr>
      <w:tr w:rsidR="00F06D8C" w14:paraId="6112457E" w14:textId="77777777">
        <w:trPr>
          <w:trHeight w:val="70"/>
        </w:trPr>
        <w:tc>
          <w:tcPr>
            <w:tcW w:w="1735" w:type="dxa"/>
            <w:tcBorders>
              <w:top w:val="single" w:sz="4" w:space="0" w:color="000000"/>
              <w:left w:val="nil"/>
              <w:bottom w:val="single" w:sz="4" w:space="0" w:color="000000"/>
              <w:right w:val="nil"/>
            </w:tcBorders>
          </w:tcPr>
          <w:p w14:paraId="2FAB4015" w14:textId="77777777" w:rsidR="00F06D8C" w:rsidRDefault="00000000">
            <w:pPr>
              <w:spacing w:before="120" w:after="120"/>
              <w:rPr>
                <w:rFonts w:ascii="Cambria" w:eastAsia="Cambria" w:hAnsi="Cambria" w:cs="Cambria"/>
                <w:b/>
                <w:bCs/>
              </w:rPr>
            </w:pPr>
            <w:r>
              <w:rPr>
                <w:rFonts w:ascii="Cambria" w:eastAsia="Cambria" w:hAnsi="Cambria" w:cs="Cambria"/>
                <w:b/>
                <w:bCs/>
              </w:rPr>
              <w:t>Keywords:</w:t>
            </w:r>
          </w:p>
          <w:p w14:paraId="465FE94B" w14:textId="2E5A421B" w:rsidR="00F06D8C" w:rsidRDefault="00711A4C">
            <w:r w:rsidRPr="00711A4C">
              <w:rPr>
                <w:rFonts w:ascii="Cambria" w:eastAsia="Cambria" w:hAnsi="Cambria" w:cs="Cambria"/>
              </w:rPr>
              <w:t xml:space="preserve">Controversial Issues; critical thinking; contemporary </w:t>
            </w:r>
            <w:proofErr w:type="spellStart"/>
            <w:r w:rsidRPr="00711A4C">
              <w:rPr>
                <w:rFonts w:ascii="Cambria" w:eastAsia="Cambria" w:hAnsi="Cambria" w:cs="Cambria"/>
              </w:rPr>
              <w:t>fiqh</w:t>
            </w:r>
            <w:proofErr w:type="spellEnd"/>
            <w:r w:rsidRPr="00711A4C">
              <w:rPr>
                <w:rFonts w:ascii="Cambria" w:eastAsia="Cambria" w:hAnsi="Cambria" w:cs="Cambria"/>
              </w:rPr>
              <w:t xml:space="preserve">; Islamic Education; Madrasah </w:t>
            </w:r>
            <w:proofErr w:type="spellStart"/>
            <w:r w:rsidRPr="00711A4C">
              <w:rPr>
                <w:rFonts w:ascii="Cambria" w:eastAsia="Cambria" w:hAnsi="Cambria" w:cs="Cambria"/>
              </w:rPr>
              <w:t>Tsanawiyah</w:t>
            </w:r>
            <w:proofErr w:type="spellEnd"/>
            <w:r w:rsidRPr="00711A4C">
              <w:rPr>
                <w:rFonts w:ascii="Cambria" w:eastAsia="Cambria" w:hAnsi="Cambria" w:cs="Cambria"/>
              </w:rPr>
              <w:t xml:space="preserve">; </w:t>
            </w:r>
          </w:p>
        </w:tc>
        <w:tc>
          <w:tcPr>
            <w:tcW w:w="283" w:type="dxa"/>
            <w:tcBorders>
              <w:top w:val="nil"/>
              <w:left w:val="nil"/>
              <w:bottom w:val="nil"/>
              <w:right w:val="nil"/>
            </w:tcBorders>
          </w:tcPr>
          <w:p w14:paraId="6885BFD2" w14:textId="77777777" w:rsidR="00F06D8C" w:rsidRDefault="00F06D8C">
            <w:pPr>
              <w:spacing w:before="120"/>
            </w:pPr>
          </w:p>
        </w:tc>
        <w:tc>
          <w:tcPr>
            <w:tcW w:w="7338" w:type="dxa"/>
            <w:tcBorders>
              <w:top w:val="nil"/>
              <w:left w:val="nil"/>
              <w:bottom w:val="single" w:sz="4" w:space="0" w:color="000000"/>
              <w:right w:val="nil"/>
            </w:tcBorders>
            <w:shd w:val="clear" w:color="auto" w:fill="DBE5F1"/>
          </w:tcPr>
          <w:p w14:paraId="6E1CC72F" w14:textId="267476B7" w:rsidR="00F06D8C" w:rsidRDefault="00BF3E24">
            <w:pPr>
              <w:pBdr>
                <w:top w:val="nil"/>
                <w:left w:val="nil"/>
                <w:bottom w:val="nil"/>
                <w:right w:val="nil"/>
                <w:between w:val="nil"/>
              </w:pBdr>
              <w:spacing w:before="120" w:after="120"/>
              <w:rPr>
                <w:rFonts w:ascii="Cambria" w:eastAsia="Cambria" w:hAnsi="Cambria" w:cs="Cambria"/>
              </w:rPr>
            </w:pPr>
            <w:r w:rsidRPr="00BF3E24">
              <w:rPr>
                <w:rFonts w:ascii="Cambria" w:eastAsia="Cambria" w:hAnsi="Cambria" w:cs="Cambria"/>
              </w:rPr>
              <w:t xml:space="preserve">Teaching contemporary </w:t>
            </w:r>
            <w:proofErr w:type="spellStart"/>
            <w:r w:rsidRPr="00BF3E24">
              <w:rPr>
                <w:rFonts w:ascii="Cambria" w:eastAsia="Cambria" w:hAnsi="Cambria" w:cs="Cambria"/>
              </w:rPr>
              <w:t>fiqh</w:t>
            </w:r>
            <w:proofErr w:type="spellEnd"/>
            <w:r w:rsidRPr="00BF3E24">
              <w:rPr>
                <w:rFonts w:ascii="Cambria" w:eastAsia="Cambria" w:hAnsi="Cambria" w:cs="Cambria"/>
              </w:rPr>
              <w:t xml:space="preserve"> requires an approach that enables students to understand complex issues, consider various perspectives, and develop reasoned judgments. This study aims to analyze the implementation of the “Controversial Issues” pedagogy, the development of students’ critical thinking, and the supporting and inhibiting factors at </w:t>
            </w:r>
            <w:proofErr w:type="spellStart"/>
            <w:r w:rsidRPr="00BF3E24">
              <w:rPr>
                <w:rFonts w:ascii="Cambria" w:eastAsia="Cambria" w:hAnsi="Cambria" w:cs="Cambria"/>
              </w:rPr>
              <w:t>MTsN</w:t>
            </w:r>
            <w:proofErr w:type="spellEnd"/>
            <w:r w:rsidRPr="00BF3E24">
              <w:rPr>
                <w:rFonts w:ascii="Cambria" w:eastAsia="Cambria" w:hAnsi="Cambria" w:cs="Cambria"/>
              </w:rPr>
              <w:t xml:space="preserve"> 3 </w:t>
            </w:r>
            <w:proofErr w:type="spellStart"/>
            <w:r w:rsidRPr="00BF3E24">
              <w:rPr>
                <w:rFonts w:ascii="Cambria" w:eastAsia="Cambria" w:hAnsi="Cambria" w:cs="Cambria"/>
              </w:rPr>
              <w:t>Rembang</w:t>
            </w:r>
            <w:proofErr w:type="spellEnd"/>
            <w:r w:rsidRPr="00BF3E24">
              <w:rPr>
                <w:rFonts w:ascii="Cambria" w:eastAsia="Cambria" w:hAnsi="Cambria" w:cs="Cambria"/>
              </w:rPr>
              <w:t xml:space="preserve">. The study employed a qualitative approach using a case study design. Data were collected through participatory observation, in-depth interviews with the madrasah principal, </w:t>
            </w:r>
            <w:proofErr w:type="spellStart"/>
            <w:r w:rsidRPr="00BF3E24">
              <w:rPr>
                <w:rFonts w:ascii="Cambria" w:eastAsia="Cambria" w:hAnsi="Cambria" w:cs="Cambria"/>
              </w:rPr>
              <w:t>fiqh</w:t>
            </w:r>
            <w:proofErr w:type="spellEnd"/>
            <w:r w:rsidRPr="00BF3E24">
              <w:rPr>
                <w:rFonts w:ascii="Cambria" w:eastAsia="Cambria" w:hAnsi="Cambria" w:cs="Cambria"/>
              </w:rPr>
              <w:t xml:space="preserve"> teachers, and students, as well as document analysis. Data analysis included data condensation, data presentation, and the drawing and verification of conclusions, with credibility ensured through source triangulation, methodological triangulation, and member checking. The results of the study indicate that the “Controversial Issues” pedagogy was implemented through the selection of contextual </w:t>
            </w:r>
            <w:proofErr w:type="spellStart"/>
            <w:r w:rsidRPr="00BF3E24">
              <w:rPr>
                <w:rFonts w:ascii="Cambria" w:eastAsia="Cambria" w:hAnsi="Cambria" w:cs="Cambria"/>
              </w:rPr>
              <w:t>fiqh</w:t>
            </w:r>
            <w:proofErr w:type="spellEnd"/>
            <w:r w:rsidRPr="00BF3E24">
              <w:rPr>
                <w:rFonts w:ascii="Cambria" w:eastAsia="Cambria" w:hAnsi="Cambria" w:cs="Cambria"/>
              </w:rPr>
              <w:t xml:space="preserve"> issues, exploration of legal sources, group discussions, the exchange of perspectives, argumentation, and teacher mediation. The development of critical thinking was evident in the students’ ability to understand issues, recognize differences, examine sources and arguments, evaluate reasoning, formulate reasoned judgments, and respond to differences politely. Teacher readiness, learning resources, classroom conditions, and student participation supported this process, while passive students and environmental distractions posed challenges.</w:t>
            </w:r>
          </w:p>
        </w:tc>
      </w:tr>
      <w:tr w:rsidR="00F06D8C" w14:paraId="09D8457E" w14:textId="77777777">
        <w:trPr>
          <w:trHeight w:val="70"/>
        </w:trPr>
        <w:tc>
          <w:tcPr>
            <w:tcW w:w="1735" w:type="dxa"/>
            <w:tcBorders>
              <w:top w:val="single" w:sz="4" w:space="0" w:color="000000"/>
              <w:left w:val="nil"/>
              <w:bottom w:val="single" w:sz="4" w:space="0" w:color="000000"/>
              <w:right w:val="nil"/>
            </w:tcBorders>
          </w:tcPr>
          <w:p w14:paraId="1500D083" w14:textId="77777777" w:rsidR="00F06D8C" w:rsidRDefault="00000000">
            <w:pPr>
              <w:spacing w:before="120" w:after="120"/>
              <w:rPr>
                <w:rFonts w:ascii="Cambria" w:eastAsia="Cambria" w:hAnsi="Cambria" w:cs="Cambria"/>
                <w:b/>
                <w:bCs/>
                <w:i/>
                <w:iCs/>
              </w:rPr>
            </w:pPr>
            <w:r>
              <w:rPr>
                <w:rFonts w:ascii="Cambria" w:eastAsia="Cambria" w:hAnsi="Cambria" w:cs="Cambria"/>
                <w:b/>
                <w:bCs/>
                <w:i/>
                <w:iCs/>
              </w:rPr>
              <w:t>Article History</w:t>
            </w:r>
          </w:p>
        </w:tc>
        <w:tc>
          <w:tcPr>
            <w:tcW w:w="283" w:type="dxa"/>
            <w:tcBorders>
              <w:top w:val="nil"/>
              <w:left w:val="nil"/>
              <w:bottom w:val="nil"/>
              <w:right w:val="nil"/>
            </w:tcBorders>
          </w:tcPr>
          <w:p w14:paraId="5B4BEDFB" w14:textId="77777777" w:rsidR="00F06D8C" w:rsidRDefault="00F06D8C">
            <w:pPr>
              <w:spacing w:before="120"/>
              <w:rPr>
                <w:rFonts w:ascii="Cambria" w:eastAsia="Cambria" w:hAnsi="Cambria" w:cs="Cambria"/>
              </w:rPr>
            </w:pPr>
          </w:p>
        </w:tc>
        <w:tc>
          <w:tcPr>
            <w:tcW w:w="7338" w:type="dxa"/>
            <w:tcBorders>
              <w:top w:val="nil"/>
              <w:left w:val="nil"/>
              <w:bottom w:val="single" w:sz="4" w:space="0" w:color="000000"/>
              <w:right w:val="nil"/>
            </w:tcBorders>
          </w:tcPr>
          <w:p w14:paraId="0AF59F76" w14:textId="77777777" w:rsidR="00F06D8C" w:rsidRDefault="00000000">
            <w:pPr>
              <w:tabs>
                <w:tab w:val="left" w:pos="851"/>
              </w:tabs>
              <w:ind w:left="851" w:hanging="851"/>
              <w:rPr>
                <w:rFonts w:ascii="Cambria" w:eastAsia="Cambria" w:hAnsi="Cambria" w:cs="Cambria"/>
              </w:rPr>
            </w:pPr>
            <w:r>
              <w:rPr>
                <w:rFonts w:ascii="Cambria" w:eastAsia="Cambria" w:hAnsi="Cambria" w:cs="Cambria"/>
              </w:rPr>
              <w:t xml:space="preserve">Received </w:t>
            </w:r>
            <w:proofErr w:type="gramStart"/>
            <w:r>
              <w:rPr>
                <w:rFonts w:ascii="Cambria" w:eastAsia="Cambria" w:hAnsi="Cambria" w:cs="Cambria"/>
              </w:rPr>
              <w:t xml:space="preserve">  :</w:t>
            </w:r>
            <w:proofErr w:type="gramEnd"/>
            <w:r>
              <w:rPr>
                <w:rFonts w:ascii="Cambria" w:eastAsia="Cambria" w:hAnsi="Cambria" w:cs="Cambria"/>
              </w:rPr>
              <w:t xml:space="preserve"> dd/mm/</w:t>
            </w:r>
            <w:proofErr w:type="spellStart"/>
            <w:r>
              <w:rPr>
                <w:rFonts w:ascii="Cambria" w:eastAsia="Cambria" w:hAnsi="Cambria" w:cs="Cambria"/>
              </w:rPr>
              <w:t>yyyy</w:t>
            </w:r>
            <w:proofErr w:type="spellEnd"/>
          </w:p>
          <w:p w14:paraId="0BF32D37" w14:textId="77777777" w:rsidR="00F06D8C" w:rsidRDefault="00000000">
            <w:pPr>
              <w:pBdr>
                <w:top w:val="nil"/>
                <w:left w:val="nil"/>
                <w:bottom w:val="nil"/>
                <w:right w:val="nil"/>
                <w:between w:val="nil"/>
              </w:pBdr>
              <w:tabs>
                <w:tab w:val="left" w:pos="851"/>
              </w:tabs>
              <w:ind w:left="851" w:hanging="851"/>
              <w:rPr>
                <w:rFonts w:ascii="Cambria" w:eastAsia="Cambria" w:hAnsi="Cambria" w:cs="Cambria"/>
              </w:rPr>
            </w:pPr>
            <w:r>
              <w:rPr>
                <w:rFonts w:ascii="Cambria" w:eastAsia="Cambria" w:hAnsi="Cambria" w:cs="Cambria"/>
              </w:rPr>
              <w:t xml:space="preserve">Revised   </w:t>
            </w:r>
            <w:proofErr w:type="gramStart"/>
            <w:r>
              <w:rPr>
                <w:rFonts w:ascii="Cambria" w:eastAsia="Cambria" w:hAnsi="Cambria" w:cs="Cambria"/>
              </w:rPr>
              <w:t xml:space="preserve">  :</w:t>
            </w:r>
            <w:proofErr w:type="gramEnd"/>
            <w:r>
              <w:rPr>
                <w:rFonts w:ascii="Cambria" w:eastAsia="Cambria" w:hAnsi="Cambria" w:cs="Cambria"/>
              </w:rPr>
              <w:t xml:space="preserve"> dd/mm/</w:t>
            </w:r>
            <w:proofErr w:type="spellStart"/>
            <w:r>
              <w:rPr>
                <w:rFonts w:ascii="Cambria" w:eastAsia="Cambria" w:hAnsi="Cambria" w:cs="Cambria"/>
              </w:rPr>
              <w:t>yyyy</w:t>
            </w:r>
            <w:proofErr w:type="spellEnd"/>
          </w:p>
          <w:p w14:paraId="0B1A4511" w14:textId="77777777" w:rsidR="00F06D8C" w:rsidRDefault="00000000">
            <w:pPr>
              <w:tabs>
                <w:tab w:val="left" w:pos="851"/>
              </w:tabs>
              <w:ind w:left="851" w:hanging="851"/>
              <w:rPr>
                <w:rFonts w:ascii="Cambria" w:eastAsia="Cambria" w:hAnsi="Cambria" w:cs="Cambria"/>
              </w:rPr>
            </w:pPr>
            <w:r>
              <w:rPr>
                <w:rFonts w:ascii="Cambria" w:eastAsia="Cambria" w:hAnsi="Cambria" w:cs="Cambria"/>
              </w:rPr>
              <w:t>Accepted: dd/mm/</w:t>
            </w:r>
            <w:proofErr w:type="spellStart"/>
            <w:r>
              <w:rPr>
                <w:rFonts w:ascii="Cambria" w:eastAsia="Cambria" w:hAnsi="Cambria" w:cs="Cambria"/>
              </w:rPr>
              <w:t>yyyy</w:t>
            </w:r>
            <w:proofErr w:type="spellEnd"/>
          </w:p>
        </w:tc>
      </w:tr>
      <w:tr w:rsidR="00F06D8C" w14:paraId="04D4894A" w14:textId="77777777">
        <w:tc>
          <w:tcPr>
            <w:tcW w:w="9356" w:type="dxa"/>
            <w:gridSpan w:val="3"/>
            <w:tcBorders>
              <w:top w:val="nil"/>
              <w:left w:val="nil"/>
              <w:bottom w:val="single" w:sz="4" w:space="0" w:color="000000"/>
              <w:right w:val="nil"/>
            </w:tcBorders>
          </w:tcPr>
          <w:p w14:paraId="48EE9B9C" w14:textId="3C48AD65" w:rsidR="00F06D8C" w:rsidRDefault="00000000">
            <w:pPr>
              <w:spacing w:before="120" w:after="120"/>
            </w:pPr>
            <w:r>
              <w:rPr>
                <w:sz w:val="16"/>
                <w:szCs w:val="16"/>
              </w:rPr>
              <w:t xml:space="preserve">🖂 </w:t>
            </w:r>
            <w:r>
              <w:rPr>
                <w:b/>
                <w:bCs/>
                <w:i/>
                <w:iCs/>
                <w:sz w:val="16"/>
                <w:szCs w:val="16"/>
              </w:rPr>
              <w:t xml:space="preserve">Corresponding Author: </w:t>
            </w:r>
            <w:r>
              <w:rPr>
                <w:sz w:val="16"/>
                <w:szCs w:val="16"/>
              </w:rPr>
              <w:t xml:space="preserve">(1) </w:t>
            </w:r>
            <w:r w:rsidR="00D64BFD">
              <w:rPr>
                <w:sz w:val="16"/>
                <w:szCs w:val="16"/>
              </w:rPr>
              <w:t>Ahmad Rifa’ai</w:t>
            </w:r>
            <w:r>
              <w:rPr>
                <w:sz w:val="16"/>
                <w:szCs w:val="16"/>
              </w:rPr>
              <w:t xml:space="preserve">, (2) </w:t>
            </w:r>
            <w:r w:rsidR="00D64BFD" w:rsidRPr="0043055E">
              <w:rPr>
                <w:sz w:val="16"/>
                <w:szCs w:val="16"/>
              </w:rPr>
              <w:t>Department of Islamic Education</w:t>
            </w:r>
            <w:r w:rsidR="00D64BFD">
              <w:rPr>
                <w:sz w:val="16"/>
                <w:szCs w:val="16"/>
              </w:rPr>
              <w:t xml:space="preserve">, (3) </w:t>
            </w:r>
            <w:proofErr w:type="spellStart"/>
            <w:r w:rsidR="00D64BFD" w:rsidRPr="0043055E">
              <w:rPr>
                <w:sz w:val="16"/>
                <w:szCs w:val="16"/>
              </w:rPr>
              <w:t>Institut</w:t>
            </w:r>
            <w:proofErr w:type="spellEnd"/>
            <w:r w:rsidR="00D64BFD" w:rsidRPr="0043055E">
              <w:rPr>
                <w:sz w:val="16"/>
                <w:szCs w:val="16"/>
              </w:rPr>
              <w:t xml:space="preserve"> Agama Islam </w:t>
            </w:r>
            <w:proofErr w:type="spellStart"/>
            <w:r w:rsidR="00D64BFD" w:rsidRPr="0043055E">
              <w:rPr>
                <w:sz w:val="16"/>
                <w:szCs w:val="16"/>
              </w:rPr>
              <w:t>Khozinatul</w:t>
            </w:r>
            <w:proofErr w:type="spellEnd"/>
            <w:r w:rsidR="00D64BFD" w:rsidRPr="0043055E">
              <w:rPr>
                <w:sz w:val="16"/>
                <w:szCs w:val="16"/>
              </w:rPr>
              <w:t xml:space="preserve"> </w:t>
            </w:r>
            <w:proofErr w:type="spellStart"/>
            <w:r w:rsidR="00D64BFD" w:rsidRPr="0043055E">
              <w:rPr>
                <w:sz w:val="16"/>
                <w:szCs w:val="16"/>
              </w:rPr>
              <w:t>Ulum</w:t>
            </w:r>
            <w:proofErr w:type="spellEnd"/>
            <w:r w:rsidR="00D64BFD">
              <w:rPr>
                <w:sz w:val="16"/>
                <w:szCs w:val="16"/>
              </w:rPr>
              <w:t xml:space="preserve">, (4) </w:t>
            </w:r>
            <w:proofErr w:type="spellStart"/>
            <w:r w:rsidR="00D64BFD" w:rsidRPr="0043055E">
              <w:rPr>
                <w:sz w:val="16"/>
                <w:szCs w:val="16"/>
              </w:rPr>
              <w:t>Blora</w:t>
            </w:r>
            <w:proofErr w:type="spellEnd"/>
            <w:r w:rsidR="00D64BFD" w:rsidRPr="0043055E">
              <w:rPr>
                <w:sz w:val="16"/>
                <w:szCs w:val="16"/>
              </w:rPr>
              <w:t>, Jawa Tengah, 58214, Indonesia</w:t>
            </w:r>
            <w:r w:rsidR="00D64BFD">
              <w:rPr>
                <w:sz w:val="16"/>
                <w:szCs w:val="16"/>
              </w:rPr>
              <w:t xml:space="preserve">, </w:t>
            </w:r>
            <w:r>
              <w:rPr>
                <w:sz w:val="16"/>
                <w:szCs w:val="16"/>
              </w:rPr>
              <w:t xml:space="preserve">(5) Email: </w:t>
            </w:r>
            <w:r w:rsidR="00D64BFD" w:rsidRPr="00D64BFD">
              <w:rPr>
                <w:sz w:val="16"/>
                <w:szCs w:val="16"/>
              </w:rPr>
              <w:t>ahmadriefai913@iaiku.ac.id</w:t>
            </w:r>
          </w:p>
        </w:tc>
      </w:tr>
    </w:tbl>
    <w:p w14:paraId="68A398A6" w14:textId="77777777" w:rsidR="00F06D8C" w:rsidRDefault="00F06D8C">
      <w:pPr>
        <w:spacing w:before="240" w:after="480" w:line="288" w:lineRule="auto"/>
        <w:rPr>
          <w:color w:val="999999"/>
        </w:rPr>
        <w:sectPr w:rsidR="00F06D8C" w:rsidSect="00B10C74">
          <w:headerReference w:type="even" r:id="rId8"/>
          <w:headerReference w:type="default" r:id="rId9"/>
          <w:footerReference w:type="default" r:id="rId10"/>
          <w:headerReference w:type="first" r:id="rId11"/>
          <w:pgSz w:w="11906" w:h="16838"/>
          <w:pgMar w:top="1159" w:right="1440" w:bottom="1440" w:left="1440" w:header="851" w:footer="567" w:gutter="0"/>
          <w:pgNumType w:start="1304"/>
          <w:cols w:space="720"/>
        </w:sectPr>
      </w:pPr>
    </w:p>
    <w:p w14:paraId="15A6D6CF" w14:textId="17E89DCD" w:rsidR="00F06D8C" w:rsidRDefault="00000000">
      <w:pPr>
        <w:spacing w:before="240" w:after="240" w:line="288" w:lineRule="auto"/>
        <w:jc w:val="left"/>
        <w:rPr>
          <w:b/>
          <w:bCs/>
          <w:sz w:val="22"/>
          <w:szCs w:val="22"/>
        </w:rPr>
      </w:pPr>
      <w:r>
        <w:rPr>
          <w:b/>
          <w:bCs/>
          <w:sz w:val="22"/>
          <w:szCs w:val="22"/>
        </w:rPr>
        <w:lastRenderedPageBreak/>
        <w:t>1. Introduction</w:t>
      </w:r>
    </w:p>
    <w:p w14:paraId="077A37E1" w14:textId="62B87C8B" w:rsidR="002F096F" w:rsidRDefault="002F096F" w:rsidP="000E7923">
      <w:pPr>
        <w:tabs>
          <w:tab w:val="left" w:pos="4536"/>
        </w:tabs>
        <w:spacing w:line="288" w:lineRule="auto"/>
        <w:ind w:firstLine="180"/>
      </w:pPr>
      <w:r w:rsidRPr="002F096F">
        <w:t>Contemporary education is no longer sufficient if it is oriented solely toward the mastery and reproduction of knowledge; rather, it must equip students with the ability to understand, evaluate, and use knowledge reflectively when facing complex problems. In this sense, critical thinking is not merely the ability to find the correct answer, but rather a reflective process that enables students to examine the assumptions underlying their thinking, test the validity of a viewpoint, consider alternatives, and form more informed judgments</w:t>
      </w:r>
      <w:r w:rsidR="000E7923">
        <w:fldChar w:fldCharType="begin" w:fldLock="1"/>
      </w:r>
      <w:r w:rsidR="00672C4C">
        <w:instrText>ADDIN CSL_CITATION {"citationItems":[{"id":"ITEM-1","itemData":{"ISBN":"9780470889343","author":[{"dropping-particle":"","family":"Brookfield","given":"Stephen D","non-dropping-particle":"","parse-names":false,"suffix":""}],"edition":"1","id":"ITEM-1","issued":{"date-parts":[["2012"]]},"publisher":"Jossey-Bass","publisher-place":"San Francisco","title":"Teaching for Critical Thinking: Tools and Techniques to Help Students Question Their Assumptions","type":"book"},"uris":["http://www.mendeley.com/documents/?uuid=7f1b7d22-7199-43e0-bdae-5a327e480364","http://www.mendeley.com/documents/?uuid=ecc105b5-c59b-4df2-b398-88146e5b5d3b"]},{"id":"ITEM-2","itemData":{"author":[{"dropping-particle":"","family":"Facione","given":"Peter A","non-dropping-particle":"","parse-names":false,"suffix":""}],"id":"ITEM-2","issued":{"date-parts":[["2020"]]},"note":"The essay has multiple updates/versions; verify the year against the exact PDF/version used in the manuscript.","publisher":"Insight Assessment","title":"Critical Thinking: What It Is and Why It Counts","type":"article-journal"},"uris":["http://www.mendeley.com/documents/?uuid=cb4fd2ae-ceac-4ce1-85b3-2e2c28837001","http://www.mendeley.com/documents/?uuid=b7a6f0f7-6084-45c5-b44c-054f168f21fe"]}],"mendeley":{"formattedCitation":"[1], [2]","plainTextFormattedCitation":"[1], [2]","previouslyFormattedCitation":"[1], [2]"},"properties":{"noteIndex":0},"schema":"https://github.com/citation-style-language/schema/raw/master/csl-citation.json"}</w:instrText>
      </w:r>
      <w:r w:rsidR="000E7923">
        <w:fldChar w:fldCharType="separate"/>
      </w:r>
      <w:r w:rsidR="000E7923" w:rsidRPr="000E7923">
        <w:rPr>
          <w:noProof/>
        </w:rPr>
        <w:t>[1], [2]</w:t>
      </w:r>
      <w:r w:rsidR="000E7923">
        <w:fldChar w:fldCharType="end"/>
      </w:r>
      <w:r w:rsidR="000E7923">
        <w:t xml:space="preserve"> . </w:t>
      </w:r>
      <w:r w:rsidRPr="002F096F">
        <w:t>This need is becoming increasingly relevant in the context of madrasahs, especially as the implementation of the Merdeka Curriculum promotes learning that positions students not merely as recipients of information, but also as active participants in constructing knowledge and reflecting on their learning process. The development of critical thinking skills in madrasahs can be supported through materials connected to everyday life situations, learning activities that actively engage students, as well as reflection and metacognition</w:t>
      </w:r>
      <w:r w:rsidR="000E7923">
        <w:fldChar w:fldCharType="begin" w:fldLock="1"/>
      </w:r>
      <w:r w:rsidR="00672C4C">
        <w:instrText>ADDIN CSL_CITATION {"citationItems":[{"id":"ITEM-1","itemData":{"DOI":"10.23971/mdr.v7i2.8859","author":[{"dropping-particle":"","family":"Abidin","given":"Zaenal","non-dropping-particle":"","parse-names":false,"suffix":""},{"dropping-particle":"","family":"Wiarsih","given":"Nur","non-dropping-particle":"","parse-names":false,"suffix":""},{"dropping-particle":"","family":"Faishol","given":"Riza","non-dropping-particle":"","parse-names":false,"suffix":""},{"dropping-particle":"","family":"Baharun","given":"Hasan","non-dropping-particle":"","parse-names":false,"suffix":""}],"container-title":"Al-Mudarris: Jurnal Ilmiah Pendidikan Islam","id":"ITEM-1","issue":"2","issued":{"date-parts":[["2024"]]},"title":"Enhancing Students' Critical Thinking Skills in the Implementation of the Merdeka Curriculum in Madrasah","type":"article-journal","volume":"7"},"uris":["http://www.mendeley.com/documents/?uuid=929db961-a0e2-4a25-9579-ef908c7383fa","http://www.mendeley.com/documents/?uuid=ce73c1a8-6227-42af-80ed-e94038998fd2"]}],"mendeley":{"formattedCitation":"[3]","plainTextFormattedCitation":"[3]","previouslyFormattedCitation":"[3]"},"properties":{"noteIndex":0},"schema":"https://github.com/citation-style-language/schema/raw/master/csl-citation.json"}</w:instrText>
      </w:r>
      <w:r w:rsidR="000E7923">
        <w:fldChar w:fldCharType="separate"/>
      </w:r>
      <w:r w:rsidR="000E7923" w:rsidRPr="000E7923">
        <w:rPr>
          <w:noProof/>
        </w:rPr>
        <w:t>[3]</w:t>
      </w:r>
      <w:r w:rsidR="000E7923">
        <w:fldChar w:fldCharType="end"/>
      </w:r>
      <w:r w:rsidRPr="002F096F">
        <w:t xml:space="preserve"> . A key issue in educational development is not merely how students acquire knowledge, but how the learning process can create a pedagogical space that enables them to use that knowledge to evaluate issues, consider alternatives, and build well-reasoned understanding.</w:t>
      </w:r>
    </w:p>
    <w:p w14:paraId="3F5E932E" w14:textId="027C87C4" w:rsidR="000E7923" w:rsidRDefault="000E7923" w:rsidP="002F096F">
      <w:pPr>
        <w:tabs>
          <w:tab w:val="left" w:pos="4536"/>
        </w:tabs>
        <w:spacing w:line="288" w:lineRule="auto"/>
        <w:ind w:firstLine="180"/>
      </w:pPr>
      <w:r w:rsidRPr="000E7923">
        <w:t>In the context of Islamic education, the development of critical thinking skills is not an agenda separate from the goals of religious education, but rather part of the effort to shape students who are capable of understanding, reflecting on, and responsibly considering religious issues. Systematic studies indicate that Islamic education has the potential to develop critical thinking skills, although its teaching practices still face challenges, including a tendency toward learning that emphasizes the reproduction of knowledge and rote memorization rather than analytical and reflective processes</w:t>
      </w:r>
      <w:r>
        <w:fldChar w:fldCharType="begin" w:fldLock="1"/>
      </w:r>
      <w:r w:rsidR="00672C4C">
        <w:instrText>ADDIN CSL_CITATION {"citationItems":[{"id":"ITEM-1","itemData":{"DOI":"10.32506/jois.v6i2.940","author":[{"dropping-particle":"","family":"Septiyanti","given":"Nada","non-dropping-particle":"","parse-names":false,"suffix":""}],"container-title":"Journal of Islamicate Studies","id":"ITEM-1","issue":"2","issued":{"date-parts":[["2023"]]},"page":"70-85","title":"The Role of Islamic Education in Fostering Critical Thinking Ability: A Systematic Literature Review","type":"article-journal","volume":"6"},"uris":["http://www.mendeley.com/documents/?uuid=2cc70b47-d772-4549-88ad-d17abab28d36","http://www.mendeley.com/documents/?uuid=10f45a89-70c3-4f8f-8afe-a09a4fee40b7"]}],"mendeley":{"formattedCitation":"[4]","plainTextFormattedCitation":"[4]","previouslyFormattedCitation":"[4]"},"properties":{"noteIndex":0},"schema":"https://github.com/citation-style-language/schema/raw/master/csl-citation.json"}</w:instrText>
      </w:r>
      <w:r>
        <w:fldChar w:fldCharType="separate"/>
      </w:r>
      <w:r w:rsidRPr="000E7923">
        <w:rPr>
          <w:noProof/>
        </w:rPr>
        <w:t>[4]</w:t>
      </w:r>
      <w:r>
        <w:fldChar w:fldCharType="end"/>
      </w:r>
      <w:r>
        <w:t xml:space="preserve"> . </w:t>
      </w:r>
      <w:r w:rsidRPr="000E7923">
        <w:t xml:space="preserve">In the development of contemporary Islamic education studies, critical thinking has also begun to be situated within the context of Islamic intellectual traditions such as </w:t>
      </w:r>
      <w:proofErr w:type="spellStart"/>
      <w:r w:rsidRPr="000E7923">
        <w:t>tafakkur</w:t>
      </w:r>
      <w:proofErr w:type="spellEnd"/>
      <w:r w:rsidRPr="000E7923">
        <w:t xml:space="preserve">, </w:t>
      </w:r>
      <w:proofErr w:type="spellStart"/>
      <w:r w:rsidRPr="000E7923">
        <w:t>tadabbur</w:t>
      </w:r>
      <w:proofErr w:type="spellEnd"/>
      <w:r w:rsidRPr="000E7923">
        <w:t xml:space="preserve">, and </w:t>
      </w:r>
      <w:proofErr w:type="spellStart"/>
      <w:r w:rsidRPr="000E7923">
        <w:t>ulul</w:t>
      </w:r>
      <w:proofErr w:type="spellEnd"/>
      <w:r w:rsidRPr="000E7923">
        <w:t xml:space="preserve"> </w:t>
      </w:r>
      <w:proofErr w:type="spellStart"/>
      <w:r w:rsidRPr="000E7923">
        <w:t>albab</w:t>
      </w:r>
      <w:proofErr w:type="spellEnd"/>
      <w:r w:rsidRPr="000E7923">
        <w:t>, which emphasize the role of rationality and reflection in understanding the self, the environment, and religious reality</w:t>
      </w:r>
      <w:r>
        <w:fldChar w:fldCharType="begin" w:fldLock="1"/>
      </w:r>
      <w:r w:rsidR="00672C4C">
        <w:instrText>ADDIN CSL_CITATION {"citationItems":[{"id":"ITEM-1","itemData":{"DOI":"10.21093/sy.v13i2.10570","author":[{"dropping-particle":"","family":"Adawiah","given":"Rabiatul","non-dropping-particle":"","parse-names":false,"suffix":""},{"dropping-particle":"","family":"Sakdiah","given":"Halimatus","non-dropping-particle":"","parse-names":false,"suffix":""}],"container-title":"SYAMIL: Journal of Islamic Education","id":"ITEM-1","issue":"2","issued":{"date-parts":[["2025"]]},"page":"0","title":"A Comparative Analysis of Critical Thinking in Western and Islamic Education: Implications for Contemporary Islamic Pedagogy","type":"article-journal","volume":"13"},"uris":["http://www.mendeley.com/documents/?uuid=1cd08ceb-a556-4e8f-8df4-072689666b4d","http://www.mendeley.com/documents/?uuid=f3baadfd-ec08-4447-9a23-b57e437a0b73"]}],"mendeley":{"formattedCitation":"[5]","plainTextFormattedCitation":"[5]","previouslyFormattedCitation":"[5]"},"properties":{"noteIndex":0},"schema":"https://github.com/citation-style-language/schema/raw/master/csl-citation.json"}</w:instrText>
      </w:r>
      <w:r>
        <w:fldChar w:fldCharType="separate"/>
      </w:r>
      <w:r w:rsidRPr="000E7923">
        <w:rPr>
          <w:noProof/>
        </w:rPr>
        <w:t>[5]</w:t>
      </w:r>
      <w:r>
        <w:fldChar w:fldCharType="end"/>
      </w:r>
      <w:r>
        <w:t xml:space="preserve"> .</w:t>
      </w:r>
      <w:r w:rsidRPr="000E7923">
        <w:t xml:space="preserve"> The development of critical thinking in Islamic education does not merely mean adopting thinking skills from the general education framework, but can also be understood as a process that brings together analytical abilities with reflection and consideration of issues that have religious dimensions. In line with this, studies on pedagogical trends in Islamic education indicate the use of various approaches—such as problem-based learning, collaborative dialogue, and reflective learning—to foster students’ analytical abilities, although there remain limitations in understanding and developing pedagogical approaches suited to the institutional context and characteristics </w:t>
      </w:r>
      <w:r w:rsidRPr="000E7923">
        <w:t>of Islamic learning</w:t>
      </w:r>
      <w:r>
        <w:fldChar w:fldCharType="begin" w:fldLock="1"/>
      </w:r>
      <w:r w:rsidR="00672C4C">
        <w:instrText>ADDIN CSL_CITATION {"citationItems":[{"id":"ITEM-1","itemData":{"DOI":"10.32506/jois.v6i1.938","author":[{"dropping-particle":"","family":"Hafidz","given":"Sabik Gidafian","non-dropping-particle":"","parse-names":false,"suffix":""}],"container-title":"Journal of Islamicate Studies","id":"ITEM-1","issue":"1","issued":{"date-parts":[["2023"]]},"page":"32-51","title":"Critical Thinking Ability in Islamic Education: Trends, Pedagogical Approaches, and Research Gaps—A Systematic Literature Review","type":"article-journal","volume":"6"},"uris":["http://www.mendeley.com/documents/?uuid=f24dc82c-c7de-4d1c-972a-d655868f6f61","http://www.mendeley.com/documents/?uuid=6a3d9b7e-2b61-405c-99cb-a69c0d930b25"]}],"mendeley":{"formattedCitation":"[6]","plainTextFormattedCitation":"[6]","previouslyFormattedCitation":"[6]"},"properties":{"noteIndex":0},"schema":"https://github.com/citation-style-language/schema/raw/master/csl-citation.json"}</w:instrText>
      </w:r>
      <w:r>
        <w:fldChar w:fldCharType="separate"/>
      </w:r>
      <w:r w:rsidRPr="000E7923">
        <w:rPr>
          <w:noProof/>
        </w:rPr>
        <w:t>[6]</w:t>
      </w:r>
      <w:r>
        <w:fldChar w:fldCharType="end"/>
      </w:r>
      <w:r>
        <w:t xml:space="preserve"> .</w:t>
      </w:r>
      <w:r w:rsidRPr="000E7923">
        <w:t xml:space="preserve"> These issues indicate that the next challenge is no longer merely to emphasize the importance of critical thinking in Islamic education, but to understand how specific pedagogical spaces within religious learning can enable students to develop these skills through direct engagement with issues that require reasoning, deliberation, and evaluation.</w:t>
      </w:r>
    </w:p>
    <w:p w14:paraId="323B4568" w14:textId="74D67682" w:rsidR="00BA34DE" w:rsidRDefault="00BA34DE" w:rsidP="00BA34DE">
      <w:pPr>
        <w:tabs>
          <w:tab w:val="left" w:pos="4536"/>
        </w:tabs>
        <w:spacing w:line="288" w:lineRule="auto"/>
        <w:ind w:firstLine="180"/>
      </w:pPr>
      <w:r w:rsidRPr="00BA34DE">
        <w:t>Conceptually, the development of critical thinking is related to the development of students’ cognitive abilities in understanding information, connecting various ideas, considering the relationships between thoughts, and constructing reasoning based on the problems they face. The cognitive development perspective views students’ mental activities as a process that evolves through active engagement in understanding and constructing knowledge; therefore, learning must provide opportunities for students to confront problems that demand thought and reasoning, rather than merely passively receiving information</w:t>
      </w:r>
      <w:r>
        <w:fldChar w:fldCharType="begin" w:fldLock="1"/>
      </w:r>
      <w:r w:rsidR="00672C4C">
        <w:instrText>ADDIN CSL_CITATION {"citationItems":[{"id":"ITEM-1","itemData":{"abstract":"This study aims to develop a test instrument of linear equation in one variable based on critical thinking and problem-solving indicators, which validate by experts. The type of this research is R D research with the ADDIE model. This study is limited only to Analysis (Analysis), Design (Design), and Development (Development). The instrument used in this study was an expert validation sheet. This study involved five mathematics lecturers as validators. The expert validation data were analyzed using V'Aiken. The results of the study indicate that the average value of the V'Aiken index for the feasibility of the content aspect is 0.92, with very high criteria. The feasibility of the linguistic aspect is 0.92 with very high criteria; conformity with the critical thinking indicator is very high with a value of 0.90 for questions number 1, 2, and 4, and for item number 3 is 0.91. The suitability of the solution indicator is very high, with a value of 0.89 for questions number 1, 2, and 4, and for item number 3, it is 0.90. Overall, the test instrument developed is very feasible to use.","author":[{"dropping-particle":"","family":"Pradania","given":"Anggun Putri","non-dropping-particle":"","parse-names":false,"suffix":""},{"dropping-particle":"","family":"Helaub","given":"Florentic","non-dropping-particle":"","parse-names":false,"suffix":""},{"dropping-particle":"","family":"Oktaviac","given":"Memorila Dini","non-dropping-particle":"","parse-names":false,"suffix":""},{"dropping-particle":"","family":"Mahfudzd","given":"Miftaudin","non-dropping-particle":"","parse-names":false,"suffix":""},{"dropping-particle":"","family":"Alyae","given":"Putri","non-dropping-particle":"","parse-names":false,"suffix":""},{"dropping-particle":"","family":"Putri","given":"Rizka Selviana","non-dropping-particle":"","parse-names":false,"suffix":""}],"container-title":"Journal Educational Research and Development","id":"ITEM-1","issue":"4","issued":{"date-parts":[["2025"]]},"page":"456-461","title":"Mengembangkan Kemampuan Berpikir Kritis dalam Pembelajaran Kelas Rangkap","type":"article-journal","volume":"1"},"uris":["http://www.mendeley.com/documents/?uuid=b758a912-9bc4-44e6-9e28-ce96b95caf53","http://www.mendeley.com/documents/?uuid=1c94d18b-a039-4419-856b-61e0d4bd7b4d"]}],"mendeley":{"formattedCitation":"[7]","plainTextFormattedCitation":"[7]","previouslyFormattedCitation":"[7]"},"properties":{"noteIndex":0},"schema":"https://github.com/citation-style-language/schema/raw/master/csl-citation.json"}</w:instrText>
      </w:r>
      <w:r>
        <w:fldChar w:fldCharType="separate"/>
      </w:r>
      <w:r w:rsidRPr="00BA34DE">
        <w:rPr>
          <w:noProof/>
        </w:rPr>
        <w:t>[7]</w:t>
      </w:r>
      <w:r>
        <w:fldChar w:fldCharType="end"/>
      </w:r>
      <w:r>
        <w:t xml:space="preserve"> . </w:t>
      </w:r>
      <w:r w:rsidRPr="00BA34DE">
        <w:t xml:space="preserve">The development of critical thinking skills is also linked to the selection of instructional approaches that allow students to tackle problems, develop arguments, and evaluate the information they receive. A number of studies indicate that learning approaches that actively involve students in problem-solving and contextual learning processes can be linked to the development of critical thinking skills in Islamic Education and </w:t>
      </w:r>
      <w:proofErr w:type="spellStart"/>
      <w:r w:rsidRPr="00BA34DE">
        <w:t>fiqh</w:t>
      </w:r>
      <w:proofErr w:type="spellEnd"/>
      <w:r w:rsidRPr="00BA34DE">
        <w:t xml:space="preserve"> instruction</w:t>
      </w:r>
      <w:r>
        <w:fldChar w:fldCharType="begin" w:fldLock="1"/>
      </w:r>
      <w:r w:rsidR="00672C4C">
        <w:instrText>ADDIN CSL_CITATION {"citationItems":[{"id":"ITEM-1","itemData":{"DOI":"10.25299/jpim.2023.vol1(1).14578","author":[{"dropping-particle":"","family":"Maharani","given":"Irena","non-dropping-particle":"","parse-names":false,"suffix":""},{"dropping-particle":"","family":"Putra","given":"Ary Antony","non-dropping-particle":"","parse-names":false,"suffix":""}],"container-title":"Jurnal Pendidikan Islam Muta'allimin","id":"ITEM-1","issue":"1","issued":{"date-parts":[["2023"]]},"title":"Hubungan Metode Problem Based Learning Dengan Kemampuan Berpikir Kritis Peserta Didik","type":"article-journal","volume":"1"},"uris":["http://www.mendeley.com/documents/?uuid=e5c4b404-1d13-4812-bb31-dd75d925bbd7","http://www.mendeley.com/documents/?uuid=11a351d2-49a8-46a7-8355-2078175619bb"]},{"id":"ITEM-2","itemData":{"DOI":"10.32806/jkpi.v7i1.1296","author":[{"dropping-particle":"","family":"Rifadina","given":"Saidatul Fitri","non-dropping-particle":"","parse-names":false,"suffix":""},{"dropping-particle":"","family":"Arief","given":"Armai","non-dropping-particle":"","parse-names":false,"suffix":""},{"dropping-particle":"","family":"Mukti","given":"Abdul","non-dropping-particle":"","parse-names":false,"suffix":""}],"container-title":"Jurnal Konseling Pendidikan Islam","id":"ITEM-2","issue":"1","issued":{"date-parts":[["2025"]]},"title":"Application of Contextual Teaching and Learning Model in Developing Critical Thinking Skills in Fiqh Thaharah Lessons: A Case Study at the Annur Darunnajah 8 Islamic Boarding School in Cidokom, Bogor Regency","type":"article-journal","volume":"7"},"uris":["http://www.mendeley.com/documents/?uuid=562eaedc-6c3a-45f0-8f36-6b3f20210c66","http://www.mendeley.com/documents/?uuid=c09f7f2b-d4a9-440f-a38d-3e6c5ed392e3"]}],"mendeley":{"formattedCitation":"[8], [9]","plainTextFormattedCitation":"[8], [9]","previouslyFormattedCitation":"[8], [9]"},"properties":{"noteIndex":0},"schema":"https://github.com/citation-style-language/schema/raw/master/csl-citation.json"}</w:instrText>
      </w:r>
      <w:r>
        <w:fldChar w:fldCharType="separate"/>
      </w:r>
      <w:r w:rsidRPr="00BA34DE">
        <w:rPr>
          <w:noProof/>
        </w:rPr>
        <w:t>[8], [9]</w:t>
      </w:r>
      <w:r>
        <w:fldChar w:fldCharType="end"/>
      </w:r>
      <w:r>
        <w:t xml:space="preserve"> . </w:t>
      </w:r>
    </w:p>
    <w:p w14:paraId="5D3CEE6F" w14:textId="66D75359" w:rsidR="00DF6782" w:rsidRDefault="00DF6782" w:rsidP="00DF6782">
      <w:pPr>
        <w:tabs>
          <w:tab w:val="left" w:pos="4536"/>
        </w:tabs>
        <w:spacing w:line="288" w:lineRule="auto"/>
        <w:ind w:firstLine="180"/>
      </w:pPr>
      <w:r w:rsidRPr="00DF6782">
        <w:t>Pedagogically, learning oriented toward the development of critical thinking skills requires a learning environment that provides students with opportunities to actively engage in the process of constructing understanding. In the context of Islamic Education, student-centered learning that allows for the exploration of issues can support a shift in learning from the passive reception of information toward more active cognitive engagement. The development of critical thinking skills is also related to how instruction provides students with opportunities to confront problems, connect knowledge to context, and evaluate various available sources of information</w:t>
      </w:r>
      <w:r>
        <w:fldChar w:fldCharType="begin" w:fldLock="1"/>
      </w:r>
      <w:r w:rsidR="00672C4C">
        <w:instrText>ADDIN CSL_CITATION {"citationItems":[{"id":"ITEM-1","itemData":{"DOI":"10.56997/pgmi.v2i1.1278","author":[{"dropping-particle":"","family":"Zahrotun","given":"Isna","non-dropping-particle":"","parse-names":false,"suffix":""},{"dropping-particle":"","family":"Kamal","given":"Rahmat","non-dropping-particle":"","parse-names":false,"suffix":""}],"container-title":"Jurnal Pendidikan Guru Madrasah Ibtidaiyah","id":"ITEM-1","issue":"1","issued":{"date-parts":[["2023"]]},"page":"9-14","title":"Analisis Efektivitas Kurikulum Merdeka dalam Meningkatkan Berpikir Kritis pada Peserta Didik","type":"article-journal","volume":"2"},"uris":["http://www.mendeley.com/documents/?uuid=1394739f-f974-421c-a9f8-2049eb5d35cd","http://www.mendeley.com/documents/?uuid=b628b9b7-782f-4411-8991-f64240509945"]}],"mendeley":{"formattedCitation":"[10]","plainTextFormattedCitation":"[10]","previouslyFormattedCitation":"[10]"},"properties":{"noteIndex":0},"schema":"https://github.com/citation-style-language/schema/raw/master/csl-citation.json"}</w:instrText>
      </w:r>
      <w:r>
        <w:fldChar w:fldCharType="separate"/>
      </w:r>
      <w:r w:rsidRPr="00DF6782">
        <w:rPr>
          <w:noProof/>
        </w:rPr>
        <w:t>[10]</w:t>
      </w:r>
      <w:r>
        <w:fldChar w:fldCharType="end"/>
      </w:r>
      <w:r>
        <w:t xml:space="preserve"> . </w:t>
      </w:r>
      <w:r w:rsidRPr="00DF6782">
        <w:t xml:space="preserve">This framework is relevant to the teaching of “Controversial Issues,” as topics involving differing viewpoints create learning situations that allow students to engage with multiple perspectives and require them to justify their understanding. In </w:t>
      </w:r>
      <w:proofErr w:type="spellStart"/>
      <w:r w:rsidRPr="00DF6782">
        <w:t>fiqh</w:t>
      </w:r>
      <w:proofErr w:type="spellEnd"/>
      <w:r w:rsidRPr="00DF6782">
        <w:t xml:space="preserve"> instruction, such a space is crucial because students are not merely confronted with material as a collection of legal provisions, but also with issues that may require contextual understanding, consideration of reasoning, and the formulation of arguments. Therefore</w:t>
      </w:r>
      <w:proofErr w:type="gramStart"/>
      <w:r w:rsidRPr="00DF6782">
        <w:t>, ,</w:t>
      </w:r>
      <w:proofErr w:type="gramEnd"/>
      <w:r w:rsidRPr="00DF6782">
        <w:t xml:space="preserve"> </w:t>
      </w:r>
    </w:p>
    <w:p w14:paraId="6C99A025" w14:textId="77777777" w:rsidR="00DF6782" w:rsidRDefault="00DF6782" w:rsidP="00DF6782">
      <w:pPr>
        <w:tabs>
          <w:tab w:val="left" w:pos="4536"/>
        </w:tabs>
        <w:spacing w:line="288" w:lineRule="auto"/>
        <w:ind w:firstLine="180"/>
      </w:pPr>
    </w:p>
    <w:p w14:paraId="0868BE5E" w14:textId="38997075" w:rsidR="000E7923" w:rsidRDefault="000E7923" w:rsidP="002F096F">
      <w:pPr>
        <w:tabs>
          <w:tab w:val="left" w:pos="4536"/>
        </w:tabs>
        <w:spacing w:line="288" w:lineRule="auto"/>
        <w:ind w:firstLine="180"/>
      </w:pPr>
      <w:r w:rsidRPr="000E7923">
        <w:t xml:space="preserve">In Islamic education, the study of </w:t>
      </w:r>
      <w:proofErr w:type="spellStart"/>
      <w:r w:rsidRPr="000E7923">
        <w:t>fiqh</w:t>
      </w:r>
      <w:proofErr w:type="spellEnd"/>
      <w:r w:rsidRPr="000E7923">
        <w:t xml:space="preserve"> is a pedagogical space with great potential for developing critical thinking skills because </w:t>
      </w:r>
      <w:proofErr w:type="spellStart"/>
      <w:r w:rsidRPr="000E7923">
        <w:t>fiqh</w:t>
      </w:r>
      <w:proofErr w:type="spellEnd"/>
      <w:r w:rsidRPr="000E7923">
        <w:t xml:space="preserve"> material is not merely about mastering legal rulings but also requires an understanding of the issues, consideration of legal reasoning, and the application of these principles in concrete situations. The complexity of </w:t>
      </w:r>
      <w:proofErr w:type="spellStart"/>
      <w:r w:rsidRPr="000E7923">
        <w:t>fiqh</w:t>
      </w:r>
      <w:proofErr w:type="spellEnd"/>
      <w:r w:rsidRPr="000E7923">
        <w:t xml:space="preserve"> issues allows students not only to accept a legal ruling but also to understand </w:t>
      </w:r>
      <w:r w:rsidRPr="000E7923">
        <w:lastRenderedPageBreak/>
        <w:t xml:space="preserve">the basis for its reasoning and to compare various possible solutions to a problem. A number of studies indicate that active learning approaches, particularly Problem-Based Learning (PBL), can support the development of critical thinking skills in </w:t>
      </w:r>
      <w:proofErr w:type="spellStart"/>
      <w:r w:rsidRPr="000E7923">
        <w:t>fiqh</w:t>
      </w:r>
      <w:proofErr w:type="spellEnd"/>
      <w:r w:rsidRPr="000E7923">
        <w:t xml:space="preserve"> education</w:t>
      </w:r>
      <w:r>
        <w:fldChar w:fldCharType="begin" w:fldLock="1"/>
      </w:r>
      <w:r w:rsidR="00672C4C">
        <w:instrText>ADDIN CSL_CITATION {"citationItems":[{"id":"ITEM-1","itemData":{"DOI":"10.31949/educatio.v9i4.6249","author":[{"dropping-particle":"","family":"Fauzi","given":"Bayu Bambang Nur","non-dropping-particle":"","parse-names":false,"suffix":""},{"dropping-particle":"","family":"Qomaruzzaman","given":"Bambang","non-dropping-particle":"","parse-names":false,"suffix":""},{"dropping-particle":"","family":"Zaqiah","given":"Qiqi Yuliati","non-dropping-particle":"","parse-names":false,"suffix":""}],"container-title":"Jurnal Educatio FKIP UNMA","id":"ITEM-1","issue":"4","issued":{"date-parts":[["2023"]]},"title":"Pembelajaran Problem Based Learning Dalam Inovasi Pembelajaran Fiqih Untuk Meningkatkan Berpikir Kritis","type":"article-journal","volume":"9"},"uris":["http://www.mendeley.com/documents/?uuid=83b1b900-021e-4859-a2b7-9f622da23534","http://www.mendeley.com/documents/?uuid=e9968d99-bde5-43b2-9e09-384e9e40bb6f"]},{"id":"ITEM-2","itemData":{"DOI":"10.35723/jie.v9i1.395","author":[{"dropping-particle":"","family":"Purba","given":"Risma Br","non-dropping-particle":"","parse-names":false,"suffix":""},{"dropping-particle":"","family":"Sinaga","given":"Ali Imran","non-dropping-particle":"","parse-names":false,"suffix":""},{"dropping-particle":"","family":"Haidir","given":"Haidir","non-dropping-particle":"","parse-names":false,"suffix":""}],"container-title":"JIE: Journal of Islamic Education","id":"ITEM-2","issue":"1","issued":{"date-parts":[["2024"]]},"title":"The Developing a Fiqh Student Worksheet Based on Problem-Based Learning to Improving Critical Thinking Skills","type":"article-journal","volume":"9"},"uris":["http://www.mendeley.com/documents/?uuid=1f520af2-c4c4-425d-bcf0-3c711b43fa4b","http://www.mendeley.com/documents/?uuid=e42dbe36-6503-4514-85ac-e47b3fa023cd"]},{"id":"ITEM-3","itemData":{"DOI":"10.21070/acopen.11.2026.11965","author":[{"dropping-particle":"","family":"Khadafi","given":"Muhammad","non-dropping-particle":"","parse-names":false,"suffix":""},{"dropping-particle":"","family":"Suradi","given":"Ahmadi","non-dropping-particle":"","parse-names":false,"suffix":""},{"dropping-particle":"","family":"Mindani","given":"Mindani","non-dropping-particle":"","parse-names":false,"suffix":""}],"container-title":"Academia Open","id":"ITEM-3","issue":"1","issued":{"date-parts":[["2026"]]},"title":"Problem-Based Learning and Students Critical Thinking in Fiqh Learning","type":"article-journal","volume":"11"},"uris":["http://www.mendeley.com/documents/?uuid=5427f171-1129-483a-a698-93effcf3838d","http://www.mendeley.com/documents/?uuid=ee0d900b-a533-46eb-b89c-4b38c869caff"]}],"mendeley":{"formattedCitation":"[11], [12], [13]","plainTextFormattedCitation":"[11], [12], [13]","previouslyFormattedCitation":"[11], [12], [13]"},"properties":{"noteIndex":0},"schema":"https://github.com/citation-style-language/schema/raw/master/csl-citation.json"}</w:instrText>
      </w:r>
      <w:r>
        <w:fldChar w:fldCharType="separate"/>
      </w:r>
      <w:r w:rsidR="00DF6782" w:rsidRPr="00DF6782">
        <w:rPr>
          <w:noProof/>
        </w:rPr>
        <w:t>[11], [12], [13]</w:t>
      </w:r>
      <w:r>
        <w:fldChar w:fldCharType="end"/>
      </w:r>
      <w:r>
        <w:t xml:space="preserve"> . </w:t>
      </w:r>
      <w:r w:rsidRPr="000E7923">
        <w:t xml:space="preserve">These findings suggest that </w:t>
      </w:r>
      <w:proofErr w:type="spellStart"/>
      <w:r w:rsidRPr="000E7923">
        <w:t>fiqh</w:t>
      </w:r>
      <w:proofErr w:type="spellEnd"/>
      <w:r w:rsidRPr="000E7923">
        <w:t xml:space="preserve"> education can serve as a productive space for developing critical thinking skills. However, the focus of previous research on PBL also opens the door to exploring other pedagogical approaches that more explicitly utilize differing perspectives and controversies in </w:t>
      </w:r>
      <w:proofErr w:type="spellStart"/>
      <w:r w:rsidRPr="000E7923">
        <w:t>fiqh</w:t>
      </w:r>
      <w:proofErr w:type="spellEnd"/>
      <w:r w:rsidRPr="000E7923">
        <w:t xml:space="preserve"> issues as learning resources.</w:t>
      </w:r>
    </w:p>
    <w:p w14:paraId="4FC67A18" w14:textId="5FE3BAFE" w:rsidR="00E82D70" w:rsidRDefault="00E82D70" w:rsidP="002F096F">
      <w:pPr>
        <w:tabs>
          <w:tab w:val="left" w:pos="4536"/>
        </w:tabs>
        <w:spacing w:line="288" w:lineRule="auto"/>
        <w:ind w:firstLine="180"/>
      </w:pPr>
      <w:r w:rsidRPr="00E82D70">
        <w:t xml:space="preserve">Technological advancements and social changes have introduced various new issues that expand the scope of </w:t>
      </w:r>
      <w:proofErr w:type="spellStart"/>
      <w:r w:rsidRPr="00E82D70">
        <w:t>fiqh</w:t>
      </w:r>
      <w:proofErr w:type="spellEnd"/>
      <w:r w:rsidRPr="00E82D70">
        <w:t xml:space="preserve"> discussions beyond the issues directly addressed in classical contexts. Digital transactions, cryptocurrency, the use of artificial intelligence, and various contemporary social practices present issues that require consideration of Islamic legal principles as well as the context of their application</w:t>
      </w:r>
      <w:r>
        <w:fldChar w:fldCharType="begin" w:fldLock="1"/>
      </w:r>
      <w:r w:rsidR="00672C4C">
        <w:instrText>ADDIN CSL_CITATION {"citationItems":[{"id":"ITEM-1","itemData":{"DOI":"10.20414/ijhi.v23i2.887","author":[{"dropping-particle":"","family":"Rahmadani","given":"Nova Mentari Putri","non-dropping-particle":"","parse-names":false,"suffix":""},{"dropping-particle":"","family":"Fajar","given":"Fajar","non-dropping-particle":"","parse-names":false,"suffix":""}],"container-title":"Istinbath","id":"ITEM-1","issue":"2","issued":{"date-parts":[["2024"]]},"page":"366-383","title":"Aligning Cryptocurrencies with Islamic Law: Challenges, Ethical Concerns, and Regulatory Solutions","type":"article-journal","volume":"23"},"uris":["http://www.mendeley.com/documents/?uuid=1773dba1-52c2-4207-8894-83b58b881802","http://www.mendeley.com/documents/?uuid=62f7787f-508c-423e-bd61-d650ae64d051"]},{"id":"ITEM-2","itemData":{"DOI":"10.29240/jhi.v10i1.11941","author":[{"dropping-particle":"","family":"Wazin","given":"Wazin","non-dropping-particle":"","parse-names":false,"suffix":""},{"dropping-particle":"","family":"Patimah","given":"Siti","non-dropping-particle":"","parse-names":false,"suffix":""},{"dropping-particle":"","family":"Ansori","given":"Aan","non-dropping-particle":"","parse-names":false,"suffix":""},{"dropping-particle":"","family":"Wasehudin","given":"Wasehudin","non-dropping-particle":"","parse-names":false,"suffix":""}],"container-title":"Al-Istinbath: Jurnal Hukum Islam","id":"ITEM-2","issue":"1","issued":{"date-parts":[["2025"]]},"title":"Optimizing AI Technology in Assessing Islamic Financing Risks: A SWOT Analysis of Challenges and Opportunities from an Islamic Legal Perspective (Fiqh)","type":"article-journal","volume":"10"},"uris":["http://www.mendeley.com/documents/?uuid=0a1ab851-b8c9-4e6d-b11f-c775666b066c","http://www.mendeley.com/documents/?uuid=64264241-0c90-4006-8f51-43df94b58b73"]}],"mendeley":{"formattedCitation":"[14], [15]","plainTextFormattedCitation":"[14], [15]","previouslyFormattedCitation":"[14], [15]"},"properties":{"noteIndex":0},"schema":"https://github.com/citation-style-language/schema/raw/master/csl-citation.json"}</w:instrText>
      </w:r>
      <w:r>
        <w:fldChar w:fldCharType="separate"/>
      </w:r>
      <w:r w:rsidR="00DF6782" w:rsidRPr="00DF6782">
        <w:rPr>
          <w:noProof/>
        </w:rPr>
        <w:t>[14], [15]</w:t>
      </w:r>
      <w:r>
        <w:fldChar w:fldCharType="end"/>
      </w:r>
      <w:r>
        <w:t xml:space="preserve"> . </w:t>
      </w:r>
      <w:r w:rsidRPr="00E82D70">
        <w:t xml:space="preserve">These issues do not always have simple answers, especially when there are differences in understanding legal foundations, weighing public interest, or applying </w:t>
      </w:r>
      <w:proofErr w:type="spellStart"/>
      <w:r w:rsidRPr="00E82D70">
        <w:t>fiqh</w:t>
      </w:r>
      <w:proofErr w:type="spellEnd"/>
      <w:r w:rsidRPr="00E82D70">
        <w:t xml:space="preserve"> principles to ever-changing conditions. The complex nature of these issues and their openness to diverse considerations make contemporary </w:t>
      </w:r>
      <w:proofErr w:type="spellStart"/>
      <w:r w:rsidRPr="00E82D70">
        <w:t>fiqh</w:t>
      </w:r>
      <w:proofErr w:type="spellEnd"/>
      <w:r w:rsidRPr="00E82D70">
        <w:t xml:space="preserve"> a relevant source of learning that encourages students to ask questions, consider various perspectives, and develop well-reasoned arguments. Thus, the study of contemporary </w:t>
      </w:r>
      <w:proofErr w:type="spellStart"/>
      <w:r w:rsidRPr="00E82D70">
        <w:t>fiqh</w:t>
      </w:r>
      <w:proofErr w:type="spellEnd"/>
      <w:r w:rsidRPr="00E82D70">
        <w:t xml:space="preserve"> has the potential to shift from the mere transmission of rules toward a more reflective process of inquiry and reasoning.</w:t>
      </w:r>
    </w:p>
    <w:p w14:paraId="32789E49" w14:textId="164CAF86" w:rsidR="000E7923" w:rsidRDefault="004F7397" w:rsidP="002F096F">
      <w:pPr>
        <w:tabs>
          <w:tab w:val="left" w:pos="4536"/>
        </w:tabs>
        <w:spacing w:line="288" w:lineRule="auto"/>
        <w:ind w:firstLine="180"/>
      </w:pPr>
      <w:r w:rsidRPr="004F7397">
        <w:t>In an educational context, the nature of these issues—which involve differing perspectives and positions—can be leveraged as a pedagogical space to encourage students to engage in more reflective and argumentative thinking. Learning through “Controversial Issues” allows students to test assumptions, present reasons, consider alternative perspectives, and evaluate different arguments through structured interaction and discussion</w:t>
      </w:r>
      <w:r>
        <w:fldChar w:fldCharType="begin" w:fldLock="1"/>
      </w:r>
      <w:r w:rsidR="00672C4C">
        <w:instrText>ADDIN CSL_CITATION {"citationItems":[{"id":"ITEM-1","itemData":{"DOI":"10.4324/9780203878880","ISBN":"9780415962285","author":[{"dropping-particle":"","family":"Hess","given":"Diana E","non-dropping-particle":"","parse-names":false,"suffix":""}],"id":"ITEM-1","issued":{"date-parts":[["2009"]]},"publisher":"Routledge","title":"Controversy in the Classroom: The Democratic Power of Discussion","type":"book"},"uris":["http://www.mendeley.com/documents/?uuid=5b451ef0-fb1b-41eb-bd53-368b510c6151","http://www.mendeley.com/documents/?uuid=f66bdd78-08b2-4edf-a039-161a962c8f8d"]},{"id":"ITEM-2","itemData":{"ISBN":"9780713109337","author":[{"dropping-particle":"","family":"Stradling","given":"Robert","non-dropping-particle":"","parse-names":false,"suffix":""},{"dropping-particle":"","family":"Noctor","given":"Michael","non-dropping-particle":"","parse-names":false,"suffix":""},{"dropping-particle":"","family":"Baines","given":"Bridget","non-dropping-particle":"","parse-names":false,"suffix":""}],"id":"ITEM-2","issued":{"date-parts":[["1984"]]},"publisher":"Edward Arnold","publisher-place":"London","title":"Teaching Controversial Issues","type":"book"},"uris":["http://www.mendeley.com/documents/?uuid=5ec8b331-5152-4da7-a25f-63e0ecd1b516","http://www.mendeley.com/documents/?uuid=200cf00c-3097-400c-ac8d-64549d363b05"]}],"mendeley":{"formattedCitation":"[16], [17]","plainTextFormattedCitation":"[16], [17]","previouslyFormattedCitation":"[16], [17]"},"properties":{"noteIndex":0},"schema":"https://github.com/citation-style-language/schema/raw/master/csl-citation.json"}</w:instrText>
      </w:r>
      <w:r>
        <w:fldChar w:fldCharType="separate"/>
      </w:r>
      <w:r w:rsidR="00DF6782" w:rsidRPr="00DF6782">
        <w:rPr>
          <w:noProof/>
        </w:rPr>
        <w:t>[16], [17]</w:t>
      </w:r>
      <w:r>
        <w:fldChar w:fldCharType="end"/>
      </w:r>
      <w:r>
        <w:t xml:space="preserve"> . </w:t>
      </w:r>
      <w:r w:rsidRPr="004F7397">
        <w:t>This process does not merely place students in a debate situation but requires the teacher’s active role in selecting issues, fostering a dialogic atmosphere, managing differing viewpoints, and ensuring that discussions remain focused on reasoned consideration</w:t>
      </w:r>
      <w:r>
        <w:fldChar w:fldCharType="begin" w:fldLock="1"/>
      </w:r>
      <w:r w:rsidR="00672C4C">
        <w:instrText>ADDIN CSL_CITATION {"citationItems":[{"id":"ITEM-1","itemData":{"ISBN":"9780470889343","author":[{"dropping-particle":"","family":"Brookfield","given":"Stephen D","non-dropping-particle":"","parse-names":false,"suffix":""}],"edition":"1","id":"ITEM-1","issued":{"date-parts":[["2012"]]},"publisher":"Jossey-Bass","publisher-place":"San Francisco","title":"Teaching for Critical Thinking: Tools and Techniques to Help Students Question Their Assumptions","type":"book"},"uris":["http://www.mendeley.com/documents/?uuid=ecc105b5-c59b-4df2-b398-88146e5b5d3b","http://www.mendeley.com/documents/?uuid=7f1b7d22-7199-43e0-bdae-5a327e480364"]}],"mendeley":{"formattedCitation":"[1]","plainTextFormattedCitation":"[1]","previouslyFormattedCitation":"[1]"},"properties":{"noteIndex":0},"schema":"https://github.com/citation-style-language/schema/raw/master/csl-citation.json"}</w:instrText>
      </w:r>
      <w:r>
        <w:fldChar w:fldCharType="separate"/>
      </w:r>
      <w:r w:rsidRPr="004F7397">
        <w:rPr>
          <w:noProof/>
        </w:rPr>
        <w:t>[1]</w:t>
      </w:r>
      <w:r>
        <w:fldChar w:fldCharType="end"/>
      </w:r>
      <w:r>
        <w:t xml:space="preserve"> .</w:t>
      </w:r>
      <w:r w:rsidRPr="004F7397">
        <w:t xml:space="preserve"> Thus, “Controversial Issues” can be understood as a pedagogical approach that provides space for students to learn through differing perspectives, making it relevant to the nature of contemporary </w:t>
      </w:r>
      <w:proofErr w:type="spellStart"/>
      <w:r w:rsidRPr="004F7397">
        <w:t>fiqh</w:t>
      </w:r>
      <w:proofErr w:type="spellEnd"/>
      <w:r w:rsidRPr="004F7397">
        <w:t xml:space="preserve"> issues, which give rise to diverse considerations and viewpoints.</w:t>
      </w:r>
    </w:p>
    <w:p w14:paraId="4F2BE3CC" w14:textId="69960826" w:rsidR="00E9477C" w:rsidRDefault="00E9477C" w:rsidP="002F096F">
      <w:pPr>
        <w:tabs>
          <w:tab w:val="left" w:pos="4536"/>
        </w:tabs>
        <w:spacing w:line="288" w:lineRule="auto"/>
        <w:ind w:firstLine="180"/>
      </w:pPr>
      <w:r w:rsidRPr="00E9477C">
        <w:t xml:space="preserve">Empirically, the use of controversial issues in religious education has demonstrated potential in developing critical thinking skills. Muslimin and Abidin (2023), for example, show that learning based on </w:t>
      </w:r>
      <w:r w:rsidRPr="00E9477C">
        <w:rPr>
          <w:i/>
          <w:iCs/>
        </w:rPr>
        <w:t xml:space="preserve">controversial religious issues </w:t>
      </w:r>
      <w:r w:rsidRPr="00E9477C">
        <w:t>can be used to enhance students’ critical thinking skills through their engagement with religious issues that involve differing viewpoints</w:t>
      </w:r>
      <w:r>
        <w:fldChar w:fldCharType="begin" w:fldLock="1"/>
      </w:r>
      <w:r w:rsidR="00672C4C">
        <w:instrText>ADDIN CSL_CITATION {"citationItems":[{"id":"ITEM-1","itemData":{"DOI":"10.29333/iji.2023.1617a","author":[{"dropping-particle":"","family":"Muslimin","given":"Imam","non-dropping-particle":"","parse-names":false,"suffix":""},{"dropping-particle":"","family":"Abidin","given":"Munirul","non-dropping-particle":"","parse-names":false,"suffix":""}],"container-title":"International Journal of Instruction","id":"ITEM-1","issue":"1","issued":{"date-parts":[["2023"]]},"page":"119-134","title":"Controversial Religious Issues for Improving Students Critical Thinking Skill in Higher Education","type":"article-journal","volume":"16"},"uris":["http://www.mendeley.com/documents/?uuid=64825bbb-f7c3-4b95-8979-1b511b75b85b","http://www.mendeley.com/documents/?uuid=c7eb5cf2-c4b8-489c-9325-33fd8916b92b"]}],"mendeley":{"formattedCitation":"[18]","plainTextFormattedCitation":"[18]","previouslyFormattedCitation":"[18]"},"properties":{"noteIndex":0},"schema":"https://github.com/citation-style-language/schema/raw/master/csl-citation.json"}</w:instrText>
      </w:r>
      <w:r>
        <w:fldChar w:fldCharType="separate"/>
      </w:r>
      <w:r w:rsidR="00DF6782" w:rsidRPr="00DF6782">
        <w:rPr>
          <w:noProof/>
        </w:rPr>
        <w:t>[18]</w:t>
      </w:r>
      <w:r>
        <w:fldChar w:fldCharType="end"/>
      </w:r>
      <w:r w:rsidRPr="00E9477C">
        <w:t xml:space="preserve"> . These findings reinforce the argument that religious controversies can serve as a learning resource that </w:t>
      </w:r>
      <w:r w:rsidRPr="00E9477C">
        <w:t>encourages students to consider diverse reasons, perspectives, and arguments</w:t>
      </w:r>
      <w:r w:rsidR="003B0A8C">
        <w:fldChar w:fldCharType="begin" w:fldLock="1"/>
      </w:r>
      <w:r w:rsidR="00672C4C">
        <w:instrText>ADDIN CSL_CITATION {"citationItems":[{"id":"ITEM-1","itemData":{"DOI":"10.21831/jc.v15i1.17281","author":[{"dropping-particle":"","family":"Alfiandra","given":"Alfiandra","non-dropping-particle":"","parse-names":false,"suffix":""},{"dropping-particle":"","family":"Safitri","given":"Sani","non-dropping-particle":"","parse-names":false,"suffix":""},{"dropping-particle":"","family":"Dianti","given":"Puspa","non-dropping-particle":"","parse-names":false,"suffix":""}],"container-title":"Jurnal Civics: Media Kajian Kewarganegaraan","id":"ITEM-1","issue":"1","issued":{"date-parts":[["2018"]]},"page":"62-73","title":"Implementasi model controversial issue dalam mata kuliah Pendidikan Kewarganegaraan","type":"article-journal","volume":"15"},"uris":["http://www.mendeley.com/documents/?uuid=9958e25a-7b6a-4735-ba04-81358517faef","http://www.mendeley.com/documents/?uuid=614d912a-da26-4409-af83-545fcbaf8fd2"]}],"mendeley":{"formattedCitation":"[19]","plainTextFormattedCitation":"[19]","previouslyFormattedCitation":"[19]"},"properties":{"noteIndex":0},"schema":"https://github.com/citation-style-language/schema/raw/master/csl-citation.json"}</w:instrText>
      </w:r>
      <w:r w:rsidR="003B0A8C">
        <w:fldChar w:fldCharType="separate"/>
      </w:r>
      <w:r w:rsidR="00DF6782" w:rsidRPr="00DF6782">
        <w:rPr>
          <w:noProof/>
        </w:rPr>
        <w:t>[19]</w:t>
      </w:r>
      <w:r w:rsidR="003B0A8C">
        <w:fldChar w:fldCharType="end"/>
      </w:r>
      <w:r w:rsidRPr="00E9477C">
        <w:t xml:space="preserve"> . However, this research was conducted in the context of higher education and thus does not specifically address how the “Controversial Issues” pedagogy functions in </w:t>
      </w:r>
      <w:proofErr w:type="spellStart"/>
      <w:r w:rsidRPr="00E9477C">
        <w:t>fiqh</w:t>
      </w:r>
      <w:proofErr w:type="spellEnd"/>
      <w:r w:rsidRPr="00E9477C">
        <w:t xml:space="preserve"> instruction at the Madrasah </w:t>
      </w:r>
      <w:proofErr w:type="spellStart"/>
      <w:r w:rsidRPr="00E9477C">
        <w:t>Tsanawiyah</w:t>
      </w:r>
      <w:proofErr w:type="spellEnd"/>
      <w:r w:rsidRPr="00E9477C">
        <w:t xml:space="preserve"> level, particularly when students encounter contemporary </w:t>
      </w:r>
      <w:proofErr w:type="spellStart"/>
      <w:r w:rsidRPr="00E9477C">
        <w:t>fiqh</w:t>
      </w:r>
      <w:proofErr w:type="spellEnd"/>
      <w:r w:rsidRPr="00E9477C">
        <w:t xml:space="preserve"> issues. This difference in context opens the door to expanding our understanding of how the “Controversial Issues” pedagogy can be implemented and how the process of developing critical thinking unfolds in the context of secondary-level Islamic education</w:t>
      </w:r>
      <w:r w:rsidR="003B0A8C">
        <w:fldChar w:fldCharType="begin" w:fldLock="1"/>
      </w:r>
      <w:r w:rsidR="00672C4C">
        <w:instrText>ADDIN CSL_CITATION {"citationItems":[{"id":"ITEM-1","itemData":{"DOI":"10.21831/cp.v37i2.15962","author":[{"dropping-particle":"","family":"Suryanto","given":"Suryanto","non-dropping-particle":"","parse-names":false,"suffix":""},{"dropping-particle":"","family":"Widodo","given":"Agus","non-dropping-particle":"","parse-names":false,"suffix":""},{"dropping-particle":"","family":"Nursalim","given":"Nursalim","non-dropping-particle":"","parse-names":false,"suffix":""}],"container-title":"Jurnal Cakrawala Pendidikan","id":"ITEM-1","issue":"2","issued":{"date-parts":[["2018"]]},"title":"Pengembangan Model Pembelajaran Berlatar Isu Kontroversial Sebagai Penguatan Watak Kewarganegaraan Mahasiswa","type":"article-journal","volume":"37"},"uris":["http://www.mendeley.com/documents/?uuid=0ecbceb0-863f-44b7-9934-da7acffc1622","http://www.mendeley.com/documents/?uuid=52ab3b6f-9763-427a-b59f-3c70d301001a"]}],"mendeley":{"formattedCitation":"[20]","plainTextFormattedCitation":"[20]","previouslyFormattedCitation":"[20]"},"properties":{"noteIndex":0},"schema":"https://github.com/citation-style-language/schema/raw/master/csl-citation.json"}</w:instrText>
      </w:r>
      <w:r w:rsidR="003B0A8C">
        <w:fldChar w:fldCharType="separate"/>
      </w:r>
      <w:r w:rsidR="00DF6782" w:rsidRPr="00DF6782">
        <w:rPr>
          <w:noProof/>
        </w:rPr>
        <w:t>[20]</w:t>
      </w:r>
      <w:r w:rsidR="003B0A8C">
        <w:fldChar w:fldCharType="end"/>
      </w:r>
      <w:r w:rsidRPr="00E9477C">
        <w:t xml:space="preserve"> .</w:t>
      </w:r>
    </w:p>
    <w:p w14:paraId="4F10CAF9" w14:textId="0D306B68" w:rsidR="009C5FEB" w:rsidRDefault="009C5FEB" w:rsidP="002F096F">
      <w:pPr>
        <w:tabs>
          <w:tab w:val="left" w:pos="4536"/>
        </w:tabs>
        <w:spacing w:line="288" w:lineRule="auto"/>
        <w:ind w:firstLine="180"/>
      </w:pPr>
      <w:r w:rsidRPr="009C5FEB">
        <w:t xml:space="preserve">Although various studies have demonstrated the importance of developing critical thinking in Islamic education and the potential of active learning in </w:t>
      </w:r>
      <w:proofErr w:type="spellStart"/>
      <w:r w:rsidRPr="009C5FEB">
        <w:t>fiqh</w:t>
      </w:r>
      <w:proofErr w:type="spellEnd"/>
      <w:r w:rsidRPr="009C5FEB">
        <w:t xml:space="preserve"> instruction, there is still room to deepen our understanding of the pedagogical processes that enable these skills to develop when addressing controversial issues in </w:t>
      </w:r>
      <w:proofErr w:type="spellStart"/>
      <w:r w:rsidRPr="009C5FEB">
        <w:t>fiqh</w:t>
      </w:r>
      <w:proofErr w:type="spellEnd"/>
      <w:r w:rsidRPr="009C5FEB">
        <w:t xml:space="preserve">. Previous studies on </w:t>
      </w:r>
      <w:proofErr w:type="spellStart"/>
      <w:r w:rsidRPr="009C5FEB">
        <w:t>fiqh</w:t>
      </w:r>
      <w:proofErr w:type="spellEnd"/>
      <w:r w:rsidRPr="009C5FEB">
        <w:t xml:space="preserve"> instruction have largely highlighted the use of Problem-Based Learning to foster critical thinking skills</w:t>
      </w:r>
      <w:r>
        <w:fldChar w:fldCharType="begin" w:fldLock="1"/>
      </w:r>
      <w:r w:rsidR="00672C4C">
        <w:instrText>ADDIN CSL_CITATION {"citationItems":[{"id":"ITEM-1","itemData":{"DOI":"10.31949/educatio.v9i4.6249","author":[{"dropping-particle":"","family":"Fauzi","given":"Bayu Bambang Nur","non-dropping-particle":"","parse-names":false,"suffix":""},{"dropping-particle":"","family":"Qomaruzzaman","given":"Bambang","non-dropping-particle":"","parse-names":false,"suffix":""},{"dropping-particle":"","family":"Zaqiah","given":"Qiqi Yuliati","non-dropping-particle":"","parse-names":false,"suffix":""}],"container-title":"Jurnal Educatio FKIP UNMA","id":"ITEM-1","issue":"4","issued":{"date-parts":[["2023"]]},"title":"Pembelajaran Problem Based Learning Dalam Inovasi Pembelajaran Fiqih Untuk Meningkatkan Berpikir Kritis","type":"article-journal","volume":"9"},"uris":["http://www.mendeley.com/documents/?uuid=e9968d99-bde5-43b2-9e09-384e9e40bb6f","http://www.mendeley.com/documents/?uuid=83b1b900-021e-4859-a2b7-9f622da23534"]},{"id":"ITEM-2","itemData":{"DOI":"10.35723/jie.v9i1.395","author":[{"dropping-particle":"","family":"Purba","given":"Risma Br","non-dropping-particle":"","parse-names":false,"suffix":""},{"dropping-particle":"","family":"Sinaga","given":"Ali Imran","non-dropping-particle":"","parse-names":false,"suffix":""},{"dropping-particle":"","family":"Haidir","given":"Haidir","non-dropping-particle":"","parse-names":false,"suffix":""}],"container-title":"JIE: Journal of Islamic Education","id":"ITEM-2","issue":"1","issued":{"date-parts":[["2024"]]},"title":"The Developing a Fiqh Student Worksheet Based on Problem-Based Learning to Improving Critical Thinking Skills","type":"article-journal","volume":"9"},"uris":["http://www.mendeley.com/documents/?uuid=e42dbe36-6503-4514-85ac-e47b3fa023cd","http://www.mendeley.com/documents/?uuid=1f520af2-c4c4-425d-bcf0-3c711b43fa4b","http://www.mendeley.com/documents/?uuid=18d5d6ce-0f19-4c1c-95da-eacf7fc5affc"]},{"id":"ITEM-3","itemData":{"DOI":"10.21070/acopen.11.2026.11965","author":[{"dropping-particle":"","family":"Khadafi","given":"Muhammad","non-dropping-particle":"","parse-names":false,"suffix":""},{"dropping-particle":"","family":"Suradi","given":"Ahmadi","non-dropping-particle":"","parse-names":false,"suffix":""},{"dropping-particle":"","family":"Mindani","given":"Mindani","non-dropping-particle":"","parse-names":false,"suffix":""}],"container-title":"Academia Open","id":"ITEM-3","issue":"1","issued":{"date-parts":[["2026"]]},"title":"Problem-Based Learning and Students Critical Thinking in Fiqh Learning","type":"article-journal","volume":"11"},"uris":["http://www.mendeley.com/documents/?uuid=ee0d900b-a533-46eb-b89c-4b38c869caff","http://www.mendeley.com/documents/?uuid=5427f171-1129-483a-a698-93effcf3838d","http://www.mendeley.com/documents/?uuid=c385ade7-0318-4969-b776-0e84c90bee44"]}],"mendeley":{"formattedCitation":"[11], [12], [13]","plainTextFormattedCitation":"[11], [12], [13]","previouslyFormattedCitation":"[11], [12], [13]"},"properties":{"noteIndex":0},"schema":"https://github.com/citation-style-language/schema/raw/master/csl-citation.json"}</w:instrText>
      </w:r>
      <w:r>
        <w:fldChar w:fldCharType="separate"/>
      </w:r>
      <w:r w:rsidR="00DF6782" w:rsidRPr="00DF6782">
        <w:rPr>
          <w:noProof/>
        </w:rPr>
        <w:t>[11], [12], [13]</w:t>
      </w:r>
      <w:r>
        <w:fldChar w:fldCharType="end"/>
      </w:r>
      <w:r>
        <w:t xml:space="preserve"> . </w:t>
      </w:r>
      <w:r w:rsidRPr="009C5FEB">
        <w:t>Meanwhile, studies on Controversial Issues in a religious context have demonstrated their potential for developing critical thinking, though primarily in the context of higher education</w:t>
      </w:r>
      <w:r>
        <w:fldChar w:fldCharType="begin" w:fldLock="1"/>
      </w:r>
      <w:r w:rsidR="00672C4C">
        <w:instrText>ADDIN CSL_CITATION {"citationItems":[{"id":"ITEM-1","itemData":{"DOI":"10.29333/iji.2023.1617a","author":[{"dropping-particle":"","family":"Muslimin","given":"Imam","non-dropping-particle":"","parse-names":false,"suffix":""},{"dropping-particle":"","family":"Abidin","given":"Munirul","non-dropping-particle":"","parse-names":false,"suffix":""}],"container-title":"International Journal of Instruction","id":"ITEM-1","issue":"1","issued":{"date-parts":[["2023"]]},"page":"119-134","title":"Controversial Religious Issues for Improving Students Critical Thinking Skill in Higher Education","type":"article-journal","volume":"16"},"uris":["http://www.mendeley.com/documents/?uuid=c7eb5cf2-c4b8-489c-9325-33fd8916b92b","http://www.mendeley.com/documents/?uuid=64825bbb-f7c3-4b95-8979-1b511b75b85b"]}],"mendeley":{"formattedCitation":"[18]","plainTextFormattedCitation":"[18]","previouslyFormattedCitation":"[18]"},"properties":{"noteIndex":0},"schema":"https://github.com/citation-style-language/schema/raw/master/csl-citation.json"}</w:instrText>
      </w:r>
      <w:r>
        <w:fldChar w:fldCharType="separate"/>
      </w:r>
      <w:r w:rsidR="00DF6782" w:rsidRPr="00DF6782">
        <w:rPr>
          <w:noProof/>
        </w:rPr>
        <w:t>[18]</w:t>
      </w:r>
      <w:r>
        <w:fldChar w:fldCharType="end"/>
      </w:r>
      <w:r>
        <w:t xml:space="preserve"> . </w:t>
      </w:r>
      <w:r w:rsidRPr="009C5FEB">
        <w:t>On the other hand, research on critical thinking in Islamic education still indicates a need to expand the exploration of pedagogical approaches and learning contexts that can foster these skills</w:t>
      </w:r>
      <w:r>
        <w:fldChar w:fldCharType="begin" w:fldLock="1"/>
      </w:r>
      <w:r w:rsidR="00672C4C">
        <w:instrText>ADDIN CSL_CITATION {"citationItems":[{"id":"ITEM-1","itemData":{"DOI":"10.32506/jois.v6i2.940","author":[{"dropping-particle":"","family":"Septiyanti","given":"Nada","non-dropping-particle":"","parse-names":false,"suffix":""}],"container-title":"Journal of Islamicate Studies","id":"ITEM-1","issue":"2","issued":{"date-parts":[["2023"]]},"page":"70-85","title":"The Role of Islamic Education in Fostering Critical Thinking Ability: A Systematic Literature Review","type":"article-journal","volume":"6"},"uris":["http://www.mendeley.com/documents/?uuid=10f45a89-70c3-4f8f-8afe-a09a4fee40b7","http://www.mendeley.com/documents/?uuid=2cc70b47-d772-4549-88ad-d17abab28d36"]},{"id":"ITEM-2","itemData":{"DOI":"10.32506/jois.v6i1.938","author":[{"dropping-particle":"","family":"Hafidz","given":"Sabik Gidafian","non-dropping-particle":"","parse-names":false,"suffix":""}],"container-title":"Journal of Islamicate Studies","id":"ITEM-2","issue":"1","issued":{"date-parts":[["2023"]]},"page":"32-51","title":"Critical Thinking Ability in Islamic Education: Trends, Pedagogical Approaches, and Research Gaps—A Systematic Literature Review","type":"article-journal","volume":"6"},"uris":["http://www.mendeley.com/documents/?uuid=6a3d9b7e-2b61-405c-99cb-a69c0d930b25","http://www.mendeley.com/documents/?uuid=f24dc82c-c7de-4d1c-972a-d655868f6f61","http://www.mendeley.com/documents/?uuid=3eb0a749-9b47-48c8-a880-507e109fefbf"]}],"mendeley":{"formattedCitation":"[4], [6]","plainTextFormattedCitation":"[4], [6]","previouslyFormattedCitation":"[4], [6]"},"properties":{"noteIndex":0},"schema":"https://github.com/citation-style-language/schema/raw/master/csl-citation.json"}</w:instrText>
      </w:r>
      <w:r>
        <w:fldChar w:fldCharType="separate"/>
      </w:r>
      <w:r w:rsidRPr="009C5FEB">
        <w:rPr>
          <w:noProof/>
        </w:rPr>
        <w:t>[4], [6]</w:t>
      </w:r>
      <w:r>
        <w:fldChar w:fldCharType="end"/>
      </w:r>
      <w:r>
        <w:t xml:space="preserve"> . </w:t>
      </w:r>
      <w:r w:rsidRPr="009C5FEB">
        <w:t xml:space="preserve">Thus, understanding remains limited regarding how the pedagogy of “Controversial Issues” is implemented in contemporary </w:t>
      </w:r>
      <w:proofErr w:type="spellStart"/>
      <w:r w:rsidRPr="009C5FEB">
        <w:t>fiqh</w:t>
      </w:r>
      <w:proofErr w:type="spellEnd"/>
      <w:r w:rsidRPr="009C5FEB">
        <w:t xml:space="preserve"> instruction at the Madrasah </w:t>
      </w:r>
      <w:proofErr w:type="spellStart"/>
      <w:r w:rsidRPr="009C5FEB">
        <w:t>Tsanawiyah</w:t>
      </w:r>
      <w:proofErr w:type="spellEnd"/>
      <w:r w:rsidRPr="009C5FEB">
        <w:t xml:space="preserve"> level, how students develop critical thinking through discussions of these issues, and the factors that support and hinder this developmental process.</w:t>
      </w:r>
    </w:p>
    <w:p w14:paraId="1B26EC4D" w14:textId="124602CA" w:rsidR="009C5FEB" w:rsidRDefault="009C5FEB" w:rsidP="002F096F">
      <w:pPr>
        <w:tabs>
          <w:tab w:val="left" w:pos="4536"/>
        </w:tabs>
        <w:spacing w:line="288" w:lineRule="auto"/>
        <w:ind w:firstLine="180"/>
      </w:pPr>
      <w:r w:rsidRPr="009C5FEB">
        <w:t xml:space="preserve">Based on these gaps, this study aims to understand how the “Controversial Issues” pedagogy is implemented in contemporary </w:t>
      </w:r>
      <w:proofErr w:type="spellStart"/>
      <w:r w:rsidRPr="009C5FEB">
        <w:t>fiqh</w:t>
      </w:r>
      <w:proofErr w:type="spellEnd"/>
      <w:r w:rsidRPr="009C5FEB">
        <w:t xml:space="preserve"> instruction at the Madrasah </w:t>
      </w:r>
      <w:proofErr w:type="spellStart"/>
      <w:r w:rsidRPr="009C5FEB">
        <w:t>Tsanawiyah</w:t>
      </w:r>
      <w:proofErr w:type="spellEnd"/>
      <w:r w:rsidRPr="009C5FEB">
        <w:t xml:space="preserve"> level, how students develop critical thinking skills through engagement in discussions of </w:t>
      </w:r>
      <w:proofErr w:type="spellStart"/>
      <w:r w:rsidRPr="009C5FEB">
        <w:t>fiqh</w:t>
      </w:r>
      <w:proofErr w:type="spellEnd"/>
      <w:r w:rsidRPr="009C5FEB">
        <w:t xml:space="preserve"> issues that involve differing perspectives, and the factors that support and hinder this process. Specifically, this study seeks to answer </w:t>
      </w:r>
      <w:r w:rsidR="005B1249">
        <w:t xml:space="preserve">two </w:t>
      </w:r>
      <w:r w:rsidRPr="009C5FEB">
        <w:t xml:space="preserve">questions: (1) how is the “Controversial Issues” pedagogy implemented in contemporary </w:t>
      </w:r>
      <w:proofErr w:type="spellStart"/>
      <w:r w:rsidRPr="009C5FEB">
        <w:t>fiqh</w:t>
      </w:r>
      <w:proofErr w:type="spellEnd"/>
      <w:r w:rsidRPr="009C5FEB">
        <w:t xml:space="preserve"> instruction at Madrasah </w:t>
      </w:r>
      <w:proofErr w:type="spellStart"/>
      <w:r w:rsidRPr="009C5FEB">
        <w:t>Tsanawiyah</w:t>
      </w:r>
      <w:proofErr w:type="spellEnd"/>
      <w:r w:rsidRPr="009C5FEB">
        <w:t xml:space="preserve">; </w:t>
      </w:r>
      <w:r w:rsidR="005B1249">
        <w:t xml:space="preserve">and </w:t>
      </w:r>
      <w:r w:rsidRPr="009C5FEB">
        <w:t xml:space="preserve">(2) how do students develop critical thinking skills through discussions of contemporary </w:t>
      </w:r>
      <w:proofErr w:type="spellStart"/>
      <w:r w:rsidRPr="009C5FEB">
        <w:t>fiqh</w:t>
      </w:r>
      <w:proofErr w:type="spellEnd"/>
      <w:r w:rsidRPr="009C5FEB">
        <w:t xml:space="preserve"> issues; From a pedagogical perspective, this study is expected to broaden understanding of how the “Controversial Issues” approach can provide a learning space that enables students to engage in critical thinking by encountering differing perspectives and arguments regarding </w:t>
      </w:r>
      <w:proofErr w:type="spellStart"/>
      <w:r w:rsidRPr="009C5FEB">
        <w:t>fiqh</w:t>
      </w:r>
      <w:proofErr w:type="spellEnd"/>
      <w:r w:rsidRPr="009C5FEB">
        <w:t xml:space="preserve"> issues. In the context of Islamic education, this study also contributes by demonstrating the potential for </w:t>
      </w:r>
      <w:proofErr w:type="spellStart"/>
      <w:r w:rsidRPr="009C5FEB">
        <w:t>fiqh</w:t>
      </w:r>
      <w:proofErr w:type="spellEnd"/>
      <w:r w:rsidRPr="009C5FEB">
        <w:t xml:space="preserve"> instruction to move beyond the mere transmission of rules toward a learning process that enables students to understand issues, consider perspectives, evaluate reasons, construct arguments, and formulate well-reasoned conclusions</w:t>
      </w:r>
      <w:r>
        <w:t>.</w:t>
      </w:r>
    </w:p>
    <w:p w14:paraId="51CA9BDB" w14:textId="7FFD9C83" w:rsidR="00F06D8C" w:rsidRDefault="00000000">
      <w:pPr>
        <w:spacing w:before="240" w:after="240" w:line="288" w:lineRule="auto"/>
        <w:jc w:val="left"/>
        <w:rPr>
          <w:b/>
          <w:bCs/>
          <w:sz w:val="22"/>
          <w:szCs w:val="22"/>
        </w:rPr>
      </w:pPr>
      <w:r>
        <w:rPr>
          <w:b/>
          <w:bCs/>
          <w:sz w:val="22"/>
          <w:szCs w:val="22"/>
        </w:rPr>
        <w:lastRenderedPageBreak/>
        <w:t xml:space="preserve">2. </w:t>
      </w:r>
      <w:r w:rsidR="006F0D44">
        <w:rPr>
          <w:b/>
          <w:bCs/>
          <w:sz w:val="22"/>
          <w:szCs w:val="22"/>
        </w:rPr>
        <w:t xml:space="preserve">Methodology </w:t>
      </w:r>
    </w:p>
    <w:p w14:paraId="6DCD28CE" w14:textId="4A74CBE7" w:rsidR="00A64100" w:rsidRDefault="00A64100" w:rsidP="006F0D44">
      <w:pPr>
        <w:spacing w:line="288" w:lineRule="auto"/>
        <w:ind w:firstLine="180"/>
      </w:pPr>
      <w:r w:rsidRPr="00A64100">
        <w:t xml:space="preserve">This study employs a qualitative approach using </w:t>
      </w:r>
      <w:r w:rsidRPr="00420086">
        <w:rPr>
          <w:i/>
          <w:iCs/>
        </w:rPr>
        <w:t>a case study</w:t>
      </w:r>
      <w:r w:rsidRPr="00A64100">
        <w:t xml:space="preserve"> design to gain an in-depth understanding of the implementation of the “Controversial Issues” pedagogy—based on contemporary </w:t>
      </w:r>
      <w:proofErr w:type="spellStart"/>
      <w:r w:rsidRPr="00A64100">
        <w:t>fiqh</w:t>
      </w:r>
      <w:proofErr w:type="spellEnd"/>
      <w:r w:rsidRPr="00A64100">
        <w:t xml:space="preserve"> issues—in the process of developing critical thinking skills among students at Madrasah </w:t>
      </w:r>
      <w:proofErr w:type="spellStart"/>
      <w:r w:rsidRPr="00A64100">
        <w:t>Tsanawiyah</w:t>
      </w:r>
      <w:proofErr w:type="spellEnd"/>
      <w:r w:rsidRPr="00A64100">
        <w:t xml:space="preserve">. This design was chosen because the research focuses on understanding phenomena in their natural context, particularly how the learning process unfolds, how teachers and students interact, and how learning dynamics evolve during discussions of contemporary </w:t>
      </w:r>
      <w:proofErr w:type="spellStart"/>
      <w:r w:rsidRPr="00A64100">
        <w:t>fiqh</w:t>
      </w:r>
      <w:proofErr w:type="spellEnd"/>
      <w:r w:rsidRPr="00A64100">
        <w:t xml:space="preserve"> issues. The case study approach allows the researcher to examine the phenomenon contextually and comprehensively by considering the interrelationships between learning activities, participant characteristics, and the environment in which the phenomenon occurs</w:t>
      </w:r>
      <w:r>
        <w:fldChar w:fldCharType="begin" w:fldLock="1"/>
      </w:r>
      <w:r w:rsidR="00672C4C">
        <w:instrText>ADDIN CSL_CITATION {"citationItems":[{"id":"ITEM-1","itemData":{"author":[{"dropping-particle":"","family":"Creswell","given":"Jhon W.","non-dropping-particle":"","parse-names":false,"suffix":""},{"dropping-particle":"","family":"Creswell","given":"J. David","non-dropping-particle":"","parse-names":false,"suffix":""}],"edition":"5","id":"ITEM-1","issued":{"date-parts":[["2018"]]},"publisher":"SAGE Publications","publisher-place":"Paris","title":"Research Design: Qualitative, Quantitative, and Mixed Methods Approaches","type":"book"},"uris":["http://www.mendeley.com/documents/?uuid=a0b7617c-4d6c-3389-a349-cf31f50e7948","http://www.mendeley.com/documents/?uuid=e657cd88-6c60-48a6-a45c-7c8f17dae6cf"]},{"id":"ITEM-2","itemData":{"author":[{"dropping-particle":"","family":"Creswell","given":"John W","non-dropping-particle":"","parse-names":false,"suffix":""},{"dropping-particle":"","family":"Poth","given":"Cheryl N","non-dropping-particle":"","parse-names":false,"suffix":""}],"edition":"4","id":"ITEM-2","issued":{"date-parts":[["2016"]]},"publisher":"SAGE Publications","title":"Qualitative Inquiry and Research Design: Choosing Among Five Approaches","type":"book"},"uris":["http://www.mendeley.com/documents/?uuid=212fc8bb-de14-4eeb-b173-6ac76131b064","http://www.mendeley.com/documents/?uuid=28a5be9f-2a8e-41c1-b364-29418db5dbe8"]}],"mendeley":{"formattedCitation":"[21], [22]","plainTextFormattedCitation":"[21], [22]","previouslyFormattedCitation":"[21], [22]"},"properties":{"noteIndex":0},"schema":"https://github.com/citation-style-language/schema/raw/master/csl-citation.json"}</w:instrText>
      </w:r>
      <w:r>
        <w:fldChar w:fldCharType="separate"/>
      </w:r>
      <w:r w:rsidRPr="00A64100">
        <w:rPr>
          <w:noProof/>
        </w:rPr>
        <w:t>[21], [22]</w:t>
      </w:r>
      <w:r>
        <w:fldChar w:fldCharType="end"/>
      </w:r>
      <w:r>
        <w:t xml:space="preserve"> . </w:t>
      </w:r>
      <w:r w:rsidRPr="00A64100">
        <w:t>This study is not intended to measure the effectiveness of learning experimentally but rather to understand the implementation process and the development of critical thinking that occurs in the case under study.</w:t>
      </w:r>
    </w:p>
    <w:p w14:paraId="7FB4F945" w14:textId="6377A102" w:rsidR="00A64100" w:rsidRDefault="00A64100" w:rsidP="00420086">
      <w:pPr>
        <w:spacing w:line="288" w:lineRule="auto"/>
        <w:ind w:firstLine="180"/>
      </w:pPr>
      <w:r w:rsidRPr="00A64100">
        <w:t xml:space="preserve">The research was conducted at </w:t>
      </w:r>
      <w:proofErr w:type="spellStart"/>
      <w:r w:rsidR="00420086" w:rsidRPr="00420086">
        <w:t>MTsN</w:t>
      </w:r>
      <w:proofErr w:type="spellEnd"/>
      <w:r w:rsidR="00420086" w:rsidRPr="00420086">
        <w:t xml:space="preserve"> 3 </w:t>
      </w:r>
      <w:proofErr w:type="spellStart"/>
      <w:r w:rsidR="00420086" w:rsidRPr="00420086">
        <w:t>Rembang</w:t>
      </w:r>
      <w:proofErr w:type="spellEnd"/>
      <w:r w:rsidRPr="00A64100">
        <w:t xml:space="preserve">, which has implemented </w:t>
      </w:r>
      <w:proofErr w:type="spellStart"/>
      <w:r w:rsidRPr="00A64100">
        <w:t>fiqh</w:t>
      </w:r>
      <w:proofErr w:type="spellEnd"/>
      <w:r w:rsidRPr="00A64100">
        <w:t xml:space="preserve"> instruction by utilizing contemporary </w:t>
      </w:r>
      <w:proofErr w:type="spellStart"/>
      <w:r w:rsidRPr="00A64100">
        <w:t>fiqh</w:t>
      </w:r>
      <w:proofErr w:type="spellEnd"/>
      <w:r w:rsidRPr="00A64100">
        <w:t xml:space="preserve"> issues as discussion material. Informants were selected purposively based on their direct involvement and relevance to the research focus. Informants consisted of the </w:t>
      </w:r>
      <w:proofErr w:type="spellStart"/>
      <w:r w:rsidRPr="00A64100">
        <w:t>fiqh</w:t>
      </w:r>
      <w:proofErr w:type="spellEnd"/>
      <w:r w:rsidRPr="00A64100">
        <w:t xml:space="preserve"> teacher (GF), the madrasah principal (KM), and eighth-grade students participating in the learning process (S01, S02, S03, and so on). The teacher was selected due to their direct experience in designing and implementing instruction, while the madrasah principal was chosen to provide information regarding the context and institutional support. Students served as the primary data source for understanding their learning experiences, engagement in discussions, the process of considering various perspectives, and the development of critical thinking skills. The selection of informants was based on the consideration that they possessed experiences and information relevant to the research phenomenon</w:t>
      </w:r>
      <w:r>
        <w:fldChar w:fldCharType="begin" w:fldLock="1"/>
      </w:r>
      <w:r w:rsidR="00672C4C">
        <w:instrText>ADDIN CSL_CITATION {"citationItems":[{"id":"ITEM-1","itemData":{"author":[{"dropping-particle":"","family":"Patton","given":"Michael Quinn","non-dropping-particle":"","parse-names":false,"suffix":""}],"edition":"4","id":"ITEM-1","issued":{"date-parts":[["2014"]]},"publisher":"SAGE Publications","title":"Qualitative Research &amp; Evaluation Methods: Integrating Theory and Practice","type":"book"},"uris":["http://www.mendeley.com/documents/?uuid=24f70b04-4e04-4618-afcc-9ffcd9caba10","http://www.mendeley.com/documents/?uuid=bb94d163-a82a-40f2-8d81-0cb921eb6699"]}],"mendeley":{"formattedCitation":"[23]","plainTextFormattedCitation":"[23]","previouslyFormattedCitation":"[23]"},"properties":{"noteIndex":0},"schema":"https://github.com/citation-style-language/schema/raw/master/csl-citation.json"}</w:instrText>
      </w:r>
      <w:r>
        <w:fldChar w:fldCharType="separate"/>
      </w:r>
      <w:r w:rsidRPr="00A64100">
        <w:rPr>
          <w:noProof/>
        </w:rPr>
        <w:t>[23]</w:t>
      </w:r>
      <w:r>
        <w:fldChar w:fldCharType="end"/>
      </w:r>
      <w:r>
        <w:t xml:space="preserve"> . </w:t>
      </w:r>
    </w:p>
    <w:p w14:paraId="66A07978" w14:textId="45FB7D36" w:rsidR="00A64100" w:rsidRDefault="00A64100" w:rsidP="006F0D44">
      <w:pPr>
        <w:spacing w:line="288" w:lineRule="auto"/>
        <w:ind w:firstLine="180"/>
      </w:pPr>
      <w:r w:rsidRPr="00A64100">
        <w:t xml:space="preserve">Research data were collected through participatory observation, in-depth interviews, and document analysis. Observations were conducted during the learning process to identify the implementation of the “Controversial Issues” pedagogy, teacher and student activities, interaction patterns, forms of perspective exchange, and the students’ processes in understanding issues, presenting reasons, considering different viewpoints, and drawing conclusions. In-depth interviews were conducted with GF, KM, and selected students to explore their experiences, perceptions, learning strategies, as well as factors that support and hinder the learning process. Each informant was assigned a code to maintain anonymity. Documentation was used as supporting data, including teaching modules, lesson plans, assessment tools, student discussion outcomes, photos of </w:t>
      </w:r>
      <w:r w:rsidRPr="00A64100">
        <w:t>learning activities, and other relevant documents. These three techniques were used complementarily to obtain a more comprehensive picture of the phenomenon</w:t>
      </w:r>
      <w:r>
        <w:fldChar w:fldCharType="begin" w:fldLock="1"/>
      </w:r>
      <w:r w:rsidR="00672C4C">
        <w:instrText>ADDIN CSL_CITATION {"citationItems":[{"id":"ITEM-1","itemData":{"ISBN":"9781506365442","author":[{"dropping-particle":"","family":"Denzin","given":"Norman K","non-dropping-particle":"","parse-names":false,"suffix":""},{"dropping-particle":"","family":"Lincoln","given":"Yvonna S","non-dropping-particle":"","parse-names":false,"suffix":""}],"edition":"5","id":"ITEM-1","issued":{"date-parts":[["2017"]]},"publisher":"SAGE Publications","title":"The SAGE Handbook of Qualitative Research","type":"book"},"uris":["http://www.mendeley.com/documents/?uuid=7505dbb5-ee65-45d1-b46a-0880ed175747","http://www.mendeley.com/documents/?uuid=07422015-0d7d-473c-b7bc-2ed37cf46389"]}],"mendeley":{"formattedCitation":"[24]","plainTextFormattedCitation":"[24]","previouslyFormattedCitation":"[24]"},"properties":{"noteIndex":0},"schema":"https://github.com/citation-style-language/schema/raw/master/csl-citation.json"}</w:instrText>
      </w:r>
      <w:r>
        <w:fldChar w:fldCharType="separate"/>
      </w:r>
      <w:r w:rsidRPr="00A64100">
        <w:rPr>
          <w:noProof/>
        </w:rPr>
        <w:t>[24]</w:t>
      </w:r>
      <w:r>
        <w:fldChar w:fldCharType="end"/>
      </w:r>
      <w:r>
        <w:t xml:space="preserve"> .</w:t>
      </w:r>
    </w:p>
    <w:p w14:paraId="1BEDAF86" w14:textId="532D2566" w:rsidR="00A64100" w:rsidRDefault="00A64100" w:rsidP="006F0D44">
      <w:pPr>
        <w:spacing w:line="288" w:lineRule="auto"/>
        <w:ind w:firstLine="180"/>
      </w:pPr>
      <w:r w:rsidRPr="00A64100">
        <w:t>Data validity was ensured through source triangulation, methodological triangulation, and member checking. Source triangulation was conducted by comparing information from the GF, KM, and students, while methodological triangulation was performed by comparing data from observations, interviews, and documentation. Member checking was carried out by confirming the data and interpretations with the informants to ensure their consistency with the experiences they described. Data analysis utilized the interactive model proposed by Miles, Huberman, and Saldaña, which includes data condensation, data presentation, and the drawing and verification of conclusions</w:t>
      </w:r>
      <w:r>
        <w:fldChar w:fldCharType="begin" w:fldLock="1"/>
      </w:r>
      <w:r w:rsidR="00672C4C">
        <w:instrText>ADDIN CSL_CITATION {"citationItems":[{"id":"ITEM-1","itemData":{"author":[{"dropping-particle":"","family":"Miles","given":"Matthew B","non-dropping-particle":"","parse-names":false,"suffix":""},{"dropping-particle":"","family":"Huberman","given":"A Michael","non-dropping-particle":"","parse-names":false,"suffix":""},{"dropping-particle":"","family":"Saldaña","given":"Johnny","non-dropping-particle":"","parse-names":false,"suffix":""}],"edition":"4","id":"ITEM-1","issued":{"date-parts":[["2018"]]},"publisher":"SAGE Publications","title":"Qualitative Data Analysis: A Methods Sourcebook","type":"book"},"uris":["http://www.mendeley.com/documents/?uuid=6c90232c-a3dd-47f1-91b0-f0f3383218b3"]}],"mendeley":{"formattedCitation":"[25]","plainTextFormattedCitation":"[25]","previouslyFormattedCitation":"[25]"},"properties":{"noteIndex":0},"schema":"https://github.com/citation-style-language/schema/raw/master/csl-citation.json"}</w:instrText>
      </w:r>
      <w:r>
        <w:fldChar w:fldCharType="separate"/>
      </w:r>
      <w:r w:rsidRPr="00A64100">
        <w:rPr>
          <w:noProof/>
        </w:rPr>
        <w:t>[25]</w:t>
      </w:r>
      <w:r>
        <w:fldChar w:fldCharType="end"/>
      </w:r>
      <w:r>
        <w:t xml:space="preserve"> . </w:t>
      </w:r>
      <w:r w:rsidRPr="00A64100">
        <w:t>Data from observations, interviews, and documentation were read repeatedly, coded, grouped, and compared to identify patterns and themes related to the implementation of Controversial Issues, the process of developing critical thinking, and supporting and inhibiting factors. The analysis was conducted simultaneously throughout the research process.</w:t>
      </w:r>
    </w:p>
    <w:p w14:paraId="33C14AFC" w14:textId="11B2874B" w:rsidR="00A64100" w:rsidRDefault="00A64100" w:rsidP="00A64100">
      <w:pPr>
        <w:spacing w:before="240" w:after="240" w:line="288" w:lineRule="auto"/>
        <w:jc w:val="left"/>
        <w:rPr>
          <w:b/>
          <w:bCs/>
          <w:sz w:val="22"/>
          <w:szCs w:val="22"/>
        </w:rPr>
      </w:pPr>
      <w:r>
        <w:rPr>
          <w:b/>
          <w:bCs/>
          <w:sz w:val="22"/>
          <w:szCs w:val="22"/>
        </w:rPr>
        <w:t>3. Results and Discussion</w:t>
      </w:r>
    </w:p>
    <w:p w14:paraId="18070698" w14:textId="4C9DD015" w:rsidR="004E6530" w:rsidRDefault="004E6530" w:rsidP="004E6530">
      <w:pPr>
        <w:spacing w:before="240" w:after="240" w:line="288" w:lineRule="auto"/>
        <w:rPr>
          <w:i/>
          <w:iCs/>
          <w:sz w:val="20"/>
          <w:szCs w:val="20"/>
        </w:rPr>
      </w:pPr>
      <w:r>
        <w:rPr>
          <w:i/>
          <w:iCs/>
          <w:sz w:val="20"/>
          <w:szCs w:val="20"/>
        </w:rPr>
        <w:t xml:space="preserve">3.1. </w:t>
      </w:r>
      <w:r w:rsidRPr="004E6530">
        <w:rPr>
          <w:i/>
          <w:iCs/>
          <w:sz w:val="20"/>
          <w:szCs w:val="20"/>
        </w:rPr>
        <w:t xml:space="preserve">Implementation of Controversial Issues in Contemporary Fiqh Instruction </w:t>
      </w:r>
    </w:p>
    <w:p w14:paraId="69495CC9" w14:textId="17A4F306" w:rsidR="004E6530" w:rsidRDefault="004E6530" w:rsidP="004E6530">
      <w:pPr>
        <w:spacing w:line="288" w:lineRule="auto"/>
        <w:ind w:firstLine="180"/>
      </w:pPr>
      <w:r>
        <w:t xml:space="preserve">This study reveals that contemporary </w:t>
      </w:r>
      <w:proofErr w:type="spellStart"/>
      <w:r>
        <w:t>fiqh</w:t>
      </w:r>
      <w:proofErr w:type="spellEnd"/>
      <w:r>
        <w:t xml:space="preserve"> education is positioned not merely as a process of conveying legal provisions, but as a pedagogical space for understanding </w:t>
      </w:r>
      <w:proofErr w:type="spellStart"/>
      <w:r>
        <w:t>fiqh</w:t>
      </w:r>
      <w:proofErr w:type="spellEnd"/>
      <w:r>
        <w:t xml:space="preserve"> issues that arise in real life and involve diverse legal perspectives. The nature of these issues requires students not only to know a legal provision but also to understand the reasoning behind a particular viewpoint, recognize differences in arguments, and consider the legal sources used in formulating an opinion. Within this framework, the “Controversial Issues” approach is used to present </w:t>
      </w:r>
      <w:proofErr w:type="spellStart"/>
      <w:r>
        <w:t>fiqh</w:t>
      </w:r>
      <w:proofErr w:type="spellEnd"/>
      <w:r>
        <w:t xml:space="preserve"> issues that allow for more than one perspective, so that the learning process moves from the reception of information toward exploration, the exchange of views, and reasoning regarding the relevant legal foundations.</w:t>
      </w:r>
    </w:p>
    <w:p w14:paraId="63124981" w14:textId="77777777" w:rsidR="004E6530" w:rsidRDefault="004E6530" w:rsidP="004E6530">
      <w:pPr>
        <w:spacing w:line="288" w:lineRule="auto"/>
        <w:ind w:firstLine="180"/>
      </w:pPr>
    </w:p>
    <w:p w14:paraId="124D94D5" w14:textId="4CE95613" w:rsidR="004E6530" w:rsidRDefault="004E6530" w:rsidP="004E6530">
      <w:pPr>
        <w:spacing w:line="288" w:lineRule="auto"/>
        <w:ind w:firstLine="180"/>
      </w:pPr>
      <w:r>
        <w:t xml:space="preserve">The implementation of this approach demonstrates that controversy is positioned as a structured part of the learning process, not merely as a debate activity among students. Contextual issues are introduced as a starting point; students are then guided to explore legal sources, scholars’ viewpoints, and differing arguments before presenting and defending their opinions in the learning forum. At the same time, the teacher acts as a facilitator and moderator to ensure that every student has the opportunity to express their views, to keep differing perspectives within the bounds of academic discourse and proper discussion </w:t>
      </w:r>
      <w:r>
        <w:lastRenderedPageBreak/>
        <w:t xml:space="preserve">etiquette, and to provide clarification when misunderstandings arise. The results of observations, interviews, and </w:t>
      </w:r>
      <w:r>
        <w:t>documentation show that this sequence forms a systematic implementation pattern, as outlined in Table 1.</w:t>
      </w:r>
    </w:p>
    <w:p w14:paraId="3F19F25A" w14:textId="77777777" w:rsidR="004E6530" w:rsidRDefault="004E6530" w:rsidP="004E6530">
      <w:pPr>
        <w:spacing w:line="288" w:lineRule="auto"/>
        <w:ind w:firstLine="180"/>
        <w:sectPr w:rsidR="004E6530">
          <w:headerReference w:type="even" r:id="rId12"/>
          <w:headerReference w:type="default" r:id="rId13"/>
          <w:footerReference w:type="default" r:id="rId14"/>
          <w:headerReference w:type="first" r:id="rId15"/>
          <w:pgSz w:w="11906" w:h="16838"/>
          <w:pgMar w:top="2036" w:right="1134" w:bottom="1134" w:left="1134" w:header="1134" w:footer="567" w:gutter="0"/>
          <w:cols w:num="2" w:space="720" w:equalWidth="0">
            <w:col w:w="4593" w:space="451"/>
            <w:col w:w="4593" w:space="0"/>
          </w:cols>
        </w:sectPr>
      </w:pPr>
    </w:p>
    <w:p w14:paraId="1964EBEF" w14:textId="74F2EDB6" w:rsidR="004E6530" w:rsidRDefault="004E6530" w:rsidP="004E6530">
      <w:pPr>
        <w:keepNext/>
        <w:pBdr>
          <w:top w:val="nil"/>
          <w:left w:val="nil"/>
          <w:bottom w:val="nil"/>
          <w:right w:val="nil"/>
          <w:between w:val="nil"/>
        </w:pBdr>
        <w:spacing w:before="240" w:after="120" w:line="288" w:lineRule="auto"/>
        <w:jc w:val="center"/>
        <w:rPr>
          <w:color w:val="000000"/>
          <w:sz w:val="16"/>
          <w:szCs w:val="16"/>
        </w:rPr>
      </w:pPr>
      <w:r>
        <w:rPr>
          <w:b/>
          <w:bCs/>
          <w:color w:val="000000"/>
          <w:sz w:val="16"/>
          <w:szCs w:val="16"/>
        </w:rPr>
        <w:t>Table 1</w:t>
      </w:r>
      <w:r>
        <w:rPr>
          <w:color w:val="000000"/>
          <w:sz w:val="16"/>
          <w:szCs w:val="16"/>
        </w:rPr>
        <w:t xml:space="preserve"> </w:t>
      </w:r>
      <w:proofErr w:type="gramStart"/>
      <w:r>
        <w:rPr>
          <w:color w:val="000000"/>
          <w:sz w:val="16"/>
          <w:szCs w:val="16"/>
        </w:rPr>
        <w:t xml:space="preserve"> </w:t>
      </w:r>
      <w:r w:rsidRPr="00171A22">
        <w:rPr>
          <w:color w:val="000000"/>
          <w:sz w:val="16"/>
          <w:szCs w:val="16"/>
        </w:rPr>
        <w:t xml:space="preserve"> :</w:t>
      </w:r>
      <w:proofErr w:type="gramEnd"/>
      <w:r w:rsidRPr="00171A22">
        <w:rPr>
          <w:color w:val="000000"/>
          <w:sz w:val="16"/>
          <w:szCs w:val="16"/>
        </w:rPr>
        <w:t xml:space="preserve"> The </w:t>
      </w:r>
      <w:r w:rsidRPr="004E6530">
        <w:rPr>
          <w:color w:val="000000"/>
          <w:sz w:val="16"/>
          <w:szCs w:val="16"/>
        </w:rPr>
        <w:t>Implementation</w:t>
      </w:r>
      <w:r w:rsidRPr="00171A22">
        <w:rPr>
          <w:color w:val="000000"/>
          <w:sz w:val="16"/>
          <w:szCs w:val="16"/>
        </w:rPr>
        <w:t xml:space="preserve"> Process </w:t>
      </w:r>
      <w:r w:rsidRPr="004E6530">
        <w:rPr>
          <w:color w:val="000000"/>
          <w:sz w:val="16"/>
          <w:szCs w:val="16"/>
        </w:rPr>
        <w:t xml:space="preserve">of </w:t>
      </w:r>
      <w:r w:rsidRPr="004E6530">
        <w:rPr>
          <w:i/>
          <w:iCs/>
          <w:color w:val="000000"/>
          <w:sz w:val="16"/>
          <w:szCs w:val="16"/>
        </w:rPr>
        <w:t xml:space="preserve">Controversial Issues </w:t>
      </w:r>
      <w:r w:rsidRPr="004E6530">
        <w:rPr>
          <w:color w:val="000000"/>
          <w:sz w:val="16"/>
          <w:szCs w:val="16"/>
        </w:rPr>
        <w:t xml:space="preserve">in Contemporary Fiqh Education </w:t>
      </w:r>
    </w:p>
    <w:tbl>
      <w:tblPr>
        <w:tblStyle w:val="a2"/>
        <w:tblW w:w="9356" w:type="dxa"/>
        <w:jc w:val="center"/>
        <w:tblInd w:w="0"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560"/>
        <w:gridCol w:w="3544"/>
        <w:gridCol w:w="2835"/>
        <w:gridCol w:w="1417"/>
      </w:tblGrid>
      <w:tr w:rsidR="004E6530" w:rsidRPr="00340B9A" w14:paraId="37BD9C6A" w14:textId="77777777" w:rsidTr="004E6530">
        <w:trPr>
          <w:cantSplit/>
          <w:trHeight w:val="590"/>
          <w:jc w:val="center"/>
        </w:trPr>
        <w:tc>
          <w:tcPr>
            <w:tcW w:w="1560" w:type="dxa"/>
            <w:shd w:val="clear" w:color="auto" w:fill="F3F3F3"/>
            <w:vAlign w:val="center"/>
          </w:tcPr>
          <w:p w14:paraId="4FBBFB0D" w14:textId="27C1BD57" w:rsidR="004E6530" w:rsidRPr="004E6530" w:rsidRDefault="004E6530" w:rsidP="004E6530">
            <w:pPr>
              <w:spacing w:before="72" w:after="24" w:line="288" w:lineRule="auto"/>
              <w:jc w:val="center"/>
              <w:rPr>
                <w:sz w:val="16"/>
                <w:szCs w:val="16"/>
              </w:rPr>
            </w:pPr>
            <w:r w:rsidRPr="004E6530">
              <w:rPr>
                <w:sz w:val="16"/>
                <w:szCs w:val="16"/>
              </w:rPr>
              <w:t>Pedagogical Components</w:t>
            </w:r>
          </w:p>
        </w:tc>
        <w:tc>
          <w:tcPr>
            <w:tcW w:w="3544" w:type="dxa"/>
            <w:shd w:val="clear" w:color="auto" w:fill="F3F3F3"/>
            <w:vAlign w:val="center"/>
          </w:tcPr>
          <w:p w14:paraId="799B09A5" w14:textId="0D1D2BC1" w:rsidR="004E6530" w:rsidRPr="004E6530" w:rsidRDefault="004E6530" w:rsidP="004E6530">
            <w:pPr>
              <w:spacing w:before="72" w:after="24" w:line="288" w:lineRule="auto"/>
              <w:jc w:val="center"/>
              <w:rPr>
                <w:sz w:val="16"/>
                <w:szCs w:val="16"/>
              </w:rPr>
            </w:pPr>
            <w:r w:rsidRPr="004E6530">
              <w:rPr>
                <w:sz w:val="16"/>
                <w:szCs w:val="16"/>
              </w:rPr>
              <w:t>Empirical Implementation</w:t>
            </w:r>
          </w:p>
        </w:tc>
        <w:tc>
          <w:tcPr>
            <w:tcW w:w="2835" w:type="dxa"/>
            <w:shd w:val="clear" w:color="auto" w:fill="F3F3F3"/>
            <w:vAlign w:val="center"/>
          </w:tcPr>
          <w:p w14:paraId="4BCDFCAC" w14:textId="11930C3F" w:rsidR="004E6530" w:rsidRPr="004E6530" w:rsidRDefault="004E6530" w:rsidP="004E6530">
            <w:pPr>
              <w:spacing w:before="72" w:after="24" w:line="288" w:lineRule="auto"/>
              <w:jc w:val="center"/>
              <w:rPr>
                <w:sz w:val="16"/>
                <w:szCs w:val="16"/>
              </w:rPr>
            </w:pPr>
            <w:r w:rsidRPr="004E6530">
              <w:rPr>
                <w:sz w:val="16"/>
                <w:szCs w:val="16"/>
              </w:rPr>
              <w:t>Pedagogical Implications/Objectives</w:t>
            </w:r>
          </w:p>
        </w:tc>
        <w:tc>
          <w:tcPr>
            <w:tcW w:w="1417" w:type="dxa"/>
            <w:shd w:val="clear" w:color="auto" w:fill="F3F3F3"/>
            <w:vAlign w:val="center"/>
          </w:tcPr>
          <w:p w14:paraId="38632488" w14:textId="0A8F2FD1" w:rsidR="004E6530" w:rsidRPr="004E6530" w:rsidRDefault="004E6530" w:rsidP="004E6530">
            <w:pPr>
              <w:spacing w:before="72" w:after="24" w:line="288" w:lineRule="auto"/>
              <w:jc w:val="center"/>
              <w:rPr>
                <w:sz w:val="16"/>
                <w:szCs w:val="16"/>
              </w:rPr>
            </w:pPr>
            <w:r w:rsidRPr="004E6530">
              <w:rPr>
                <w:sz w:val="16"/>
                <w:szCs w:val="16"/>
              </w:rPr>
              <w:t>Data Sources</w:t>
            </w:r>
          </w:p>
        </w:tc>
      </w:tr>
      <w:tr w:rsidR="004E6530" w:rsidRPr="00340B9A" w14:paraId="56BCBCA8" w14:textId="77777777" w:rsidTr="004E6530">
        <w:trPr>
          <w:cantSplit/>
          <w:jc w:val="center"/>
        </w:trPr>
        <w:tc>
          <w:tcPr>
            <w:tcW w:w="1560" w:type="dxa"/>
          </w:tcPr>
          <w:p w14:paraId="00265C23" w14:textId="4040E22B" w:rsidR="004E6530" w:rsidRPr="004E6530" w:rsidRDefault="004E6530" w:rsidP="004E6530">
            <w:pPr>
              <w:spacing w:before="72" w:after="24" w:line="288" w:lineRule="auto"/>
              <w:rPr>
                <w:sz w:val="16"/>
                <w:szCs w:val="16"/>
              </w:rPr>
            </w:pPr>
            <w:r w:rsidRPr="004E6530">
              <w:rPr>
                <w:sz w:val="16"/>
                <w:szCs w:val="16"/>
              </w:rPr>
              <w:t>Planning and Selection of Issues</w:t>
            </w:r>
          </w:p>
        </w:tc>
        <w:tc>
          <w:tcPr>
            <w:tcW w:w="3544" w:type="dxa"/>
          </w:tcPr>
          <w:p w14:paraId="5AA96515" w14:textId="462267A3" w:rsidR="004E6530" w:rsidRPr="004E6530" w:rsidRDefault="004E6530" w:rsidP="004E6530">
            <w:pPr>
              <w:spacing w:before="72" w:after="24" w:line="288" w:lineRule="auto"/>
              <w:rPr>
                <w:sz w:val="16"/>
                <w:szCs w:val="16"/>
              </w:rPr>
            </w:pPr>
            <w:r w:rsidRPr="004E6530">
              <w:rPr>
                <w:sz w:val="16"/>
                <w:szCs w:val="16"/>
              </w:rPr>
              <w:t xml:space="preserve">Teachers develop lesson plans or teaching modules that include contemporary </w:t>
            </w:r>
            <w:proofErr w:type="spellStart"/>
            <w:r w:rsidRPr="004E6530">
              <w:rPr>
                <w:sz w:val="16"/>
                <w:szCs w:val="16"/>
              </w:rPr>
              <w:t>fiqh</w:t>
            </w:r>
            <w:proofErr w:type="spellEnd"/>
            <w:r w:rsidRPr="004E6530">
              <w:rPr>
                <w:sz w:val="16"/>
                <w:szCs w:val="16"/>
              </w:rPr>
              <w:t xml:space="preserve"> issues and design discussion guidelines to ensure the learning process remains conducive.</w:t>
            </w:r>
          </w:p>
        </w:tc>
        <w:tc>
          <w:tcPr>
            <w:tcW w:w="2835" w:type="dxa"/>
          </w:tcPr>
          <w:p w14:paraId="2F97C394" w14:textId="503194C2" w:rsidR="004E6530" w:rsidRPr="004E6530" w:rsidRDefault="004E6530" w:rsidP="004E6530">
            <w:pPr>
              <w:spacing w:before="72" w:after="24" w:line="288" w:lineRule="auto"/>
              <w:rPr>
                <w:sz w:val="16"/>
                <w:szCs w:val="16"/>
              </w:rPr>
            </w:pPr>
            <w:r w:rsidRPr="004E6530">
              <w:rPr>
                <w:sz w:val="16"/>
                <w:szCs w:val="16"/>
              </w:rPr>
              <w:t>Provide a structured learning framework and ensure that controversial issues are addressed within the learning objectives and clear discussion boundaries.</w:t>
            </w:r>
          </w:p>
        </w:tc>
        <w:tc>
          <w:tcPr>
            <w:tcW w:w="1417" w:type="dxa"/>
          </w:tcPr>
          <w:p w14:paraId="6C36CAAC" w14:textId="2F7BA5E0" w:rsidR="004E6530" w:rsidRPr="004E6530" w:rsidRDefault="004E6530" w:rsidP="004E6530">
            <w:pPr>
              <w:spacing w:before="72" w:after="24" w:line="288" w:lineRule="auto"/>
              <w:rPr>
                <w:sz w:val="16"/>
                <w:szCs w:val="16"/>
              </w:rPr>
            </w:pPr>
            <w:r w:rsidRPr="004E6530">
              <w:rPr>
                <w:sz w:val="16"/>
                <w:szCs w:val="16"/>
              </w:rPr>
              <w:t>Interviews, documentation</w:t>
            </w:r>
          </w:p>
        </w:tc>
      </w:tr>
      <w:tr w:rsidR="004E6530" w:rsidRPr="00340B9A" w14:paraId="20BBC5AF" w14:textId="77777777" w:rsidTr="004E6530">
        <w:trPr>
          <w:cantSplit/>
          <w:jc w:val="center"/>
        </w:trPr>
        <w:tc>
          <w:tcPr>
            <w:tcW w:w="1560" w:type="dxa"/>
          </w:tcPr>
          <w:p w14:paraId="219E56B2" w14:textId="3BDCA4B7" w:rsidR="004E6530" w:rsidRPr="004E6530" w:rsidRDefault="004E6530" w:rsidP="004E6530">
            <w:pPr>
              <w:spacing w:before="72" w:after="24" w:line="288" w:lineRule="auto"/>
              <w:rPr>
                <w:sz w:val="16"/>
                <w:szCs w:val="16"/>
              </w:rPr>
            </w:pPr>
            <w:r w:rsidRPr="004E6530">
              <w:rPr>
                <w:sz w:val="16"/>
                <w:szCs w:val="16"/>
              </w:rPr>
              <w:t>Contextualizing Contemporary Fiqh Issues</w:t>
            </w:r>
          </w:p>
        </w:tc>
        <w:tc>
          <w:tcPr>
            <w:tcW w:w="3544" w:type="dxa"/>
          </w:tcPr>
          <w:p w14:paraId="5270A016" w14:textId="3366D95C" w:rsidR="004E6530" w:rsidRPr="004E6530" w:rsidRDefault="004E6530" w:rsidP="004E6530">
            <w:pPr>
              <w:spacing w:before="72" w:after="24" w:line="288" w:lineRule="auto"/>
              <w:rPr>
                <w:sz w:val="16"/>
                <w:szCs w:val="16"/>
              </w:rPr>
            </w:pPr>
            <w:r w:rsidRPr="004E6530">
              <w:rPr>
                <w:sz w:val="16"/>
                <w:szCs w:val="16"/>
              </w:rPr>
              <w:t>Learning begins with an introduction to the issues through news stories or real-life cases relevant to students’ lives, such as digital financial transactions, professional zakat, and organ transplants.</w:t>
            </w:r>
          </w:p>
        </w:tc>
        <w:tc>
          <w:tcPr>
            <w:tcW w:w="2835" w:type="dxa"/>
          </w:tcPr>
          <w:p w14:paraId="45BA5963" w14:textId="182DBC8D" w:rsidR="004E6530" w:rsidRPr="004E6530" w:rsidRDefault="004E6530" w:rsidP="004E6530">
            <w:pPr>
              <w:spacing w:before="72" w:after="24" w:line="288" w:lineRule="auto"/>
              <w:rPr>
                <w:sz w:val="16"/>
                <w:szCs w:val="16"/>
              </w:rPr>
            </w:pPr>
            <w:r w:rsidRPr="004E6530">
              <w:rPr>
                <w:sz w:val="16"/>
                <w:szCs w:val="16"/>
              </w:rPr>
              <w:t xml:space="preserve">Connecting </w:t>
            </w:r>
            <w:proofErr w:type="spellStart"/>
            <w:r w:rsidRPr="004E6530">
              <w:rPr>
                <w:sz w:val="16"/>
                <w:szCs w:val="16"/>
              </w:rPr>
              <w:t>fiqh</w:t>
            </w:r>
            <w:proofErr w:type="spellEnd"/>
            <w:r w:rsidRPr="004E6530">
              <w:rPr>
                <w:sz w:val="16"/>
                <w:szCs w:val="16"/>
              </w:rPr>
              <w:t xml:space="preserve"> concepts to real-life issues so that students have a concrete context for understanding the emergence of differing legal perspectives.</w:t>
            </w:r>
          </w:p>
        </w:tc>
        <w:tc>
          <w:tcPr>
            <w:tcW w:w="1417" w:type="dxa"/>
          </w:tcPr>
          <w:p w14:paraId="19040C4D" w14:textId="00113F88" w:rsidR="004E6530" w:rsidRPr="004E6530" w:rsidRDefault="004E6530" w:rsidP="004E6530">
            <w:pPr>
              <w:spacing w:before="72" w:after="24" w:line="288" w:lineRule="auto"/>
              <w:jc w:val="left"/>
              <w:rPr>
                <w:sz w:val="16"/>
                <w:szCs w:val="16"/>
              </w:rPr>
            </w:pPr>
            <w:r w:rsidRPr="004E6530">
              <w:rPr>
                <w:sz w:val="16"/>
                <w:szCs w:val="16"/>
              </w:rPr>
              <w:t>Interviews, observation</w:t>
            </w:r>
          </w:p>
        </w:tc>
      </w:tr>
      <w:tr w:rsidR="004E6530" w:rsidRPr="00340B9A" w14:paraId="42CBF825" w14:textId="77777777" w:rsidTr="004E6530">
        <w:trPr>
          <w:cantSplit/>
          <w:jc w:val="center"/>
        </w:trPr>
        <w:tc>
          <w:tcPr>
            <w:tcW w:w="1560" w:type="dxa"/>
          </w:tcPr>
          <w:p w14:paraId="7CCCECC3" w14:textId="7AA17B6C" w:rsidR="004E6530" w:rsidRPr="004E6530" w:rsidRDefault="004E6530" w:rsidP="004E6530">
            <w:pPr>
              <w:spacing w:before="72" w:after="24" w:line="288" w:lineRule="auto"/>
              <w:rPr>
                <w:sz w:val="16"/>
                <w:szCs w:val="16"/>
              </w:rPr>
            </w:pPr>
            <w:r w:rsidRPr="004E6530">
              <w:rPr>
                <w:sz w:val="16"/>
                <w:szCs w:val="16"/>
              </w:rPr>
              <w:t>Collaborative Exploration</w:t>
            </w:r>
          </w:p>
        </w:tc>
        <w:tc>
          <w:tcPr>
            <w:tcW w:w="3544" w:type="dxa"/>
          </w:tcPr>
          <w:p w14:paraId="5CA3FB7C" w14:textId="2008DE97" w:rsidR="004E6530" w:rsidRPr="004E6530" w:rsidRDefault="004E6530" w:rsidP="004E6530">
            <w:pPr>
              <w:spacing w:before="72" w:after="24" w:line="288" w:lineRule="auto"/>
              <w:rPr>
                <w:sz w:val="16"/>
                <w:szCs w:val="16"/>
              </w:rPr>
            </w:pPr>
            <w:r w:rsidRPr="004E6530">
              <w:rPr>
                <w:sz w:val="16"/>
                <w:szCs w:val="16"/>
              </w:rPr>
              <w:t>Students are divided into groups to explore issues, examine sources, discuss cases, and formulate their own perspectives.</w:t>
            </w:r>
          </w:p>
        </w:tc>
        <w:tc>
          <w:tcPr>
            <w:tcW w:w="2835" w:type="dxa"/>
          </w:tcPr>
          <w:p w14:paraId="19F3ADA0" w14:textId="0F50002E" w:rsidR="004E6530" w:rsidRPr="004E6530" w:rsidRDefault="004E6530" w:rsidP="004E6530">
            <w:pPr>
              <w:spacing w:before="72" w:after="24" w:line="288" w:lineRule="auto"/>
              <w:rPr>
                <w:sz w:val="16"/>
                <w:szCs w:val="16"/>
              </w:rPr>
            </w:pPr>
            <w:r w:rsidRPr="004E6530">
              <w:rPr>
                <w:sz w:val="16"/>
                <w:szCs w:val="16"/>
              </w:rPr>
              <w:t>Encouraging students’ active engagement in understanding issues, analyzing information, and forming perspectives through interaction with group members.</w:t>
            </w:r>
          </w:p>
        </w:tc>
        <w:tc>
          <w:tcPr>
            <w:tcW w:w="1417" w:type="dxa"/>
          </w:tcPr>
          <w:p w14:paraId="345883FB" w14:textId="0B239678" w:rsidR="004E6530" w:rsidRPr="004E6530" w:rsidRDefault="004E6530" w:rsidP="004E6530">
            <w:pPr>
              <w:spacing w:before="72" w:after="24" w:line="288" w:lineRule="auto"/>
              <w:jc w:val="left"/>
              <w:rPr>
                <w:sz w:val="16"/>
                <w:szCs w:val="16"/>
              </w:rPr>
            </w:pPr>
            <w:r w:rsidRPr="004E6530">
              <w:rPr>
                <w:sz w:val="16"/>
                <w:szCs w:val="16"/>
              </w:rPr>
              <w:t>Observation, interviews</w:t>
            </w:r>
          </w:p>
        </w:tc>
      </w:tr>
      <w:tr w:rsidR="004E6530" w:rsidRPr="00340B9A" w14:paraId="022182CA" w14:textId="77777777" w:rsidTr="004E6530">
        <w:trPr>
          <w:cantSplit/>
          <w:jc w:val="center"/>
        </w:trPr>
        <w:tc>
          <w:tcPr>
            <w:tcW w:w="1560" w:type="dxa"/>
          </w:tcPr>
          <w:p w14:paraId="080107E2" w14:textId="04F6ED4C" w:rsidR="004E6530" w:rsidRPr="004E6530" w:rsidRDefault="004E6530" w:rsidP="004E6530">
            <w:pPr>
              <w:spacing w:before="72" w:after="24" w:line="288" w:lineRule="auto"/>
              <w:rPr>
                <w:sz w:val="16"/>
                <w:szCs w:val="16"/>
              </w:rPr>
            </w:pPr>
            <w:r w:rsidRPr="004E6530">
              <w:rPr>
                <w:sz w:val="16"/>
                <w:szCs w:val="16"/>
              </w:rPr>
              <w:t>Evidence-Based Discussion and Exchange of Perspectives</w:t>
            </w:r>
          </w:p>
        </w:tc>
        <w:tc>
          <w:tcPr>
            <w:tcW w:w="3544" w:type="dxa"/>
          </w:tcPr>
          <w:p w14:paraId="2A9819BB" w14:textId="0FFA2500" w:rsidR="004E6530" w:rsidRPr="004E6530" w:rsidRDefault="004E6530" w:rsidP="004E6530">
            <w:pPr>
              <w:spacing w:before="72" w:after="24" w:line="288" w:lineRule="auto"/>
              <w:rPr>
                <w:sz w:val="16"/>
                <w:szCs w:val="16"/>
              </w:rPr>
            </w:pPr>
            <w:r w:rsidRPr="004E6530">
              <w:rPr>
                <w:sz w:val="16"/>
                <w:szCs w:val="16"/>
              </w:rPr>
              <w:t xml:space="preserve">Students compare legal arguments, </w:t>
            </w:r>
            <w:proofErr w:type="spellStart"/>
            <w:r w:rsidRPr="004E6530">
              <w:rPr>
                <w:sz w:val="16"/>
                <w:szCs w:val="16"/>
              </w:rPr>
              <w:t>fiqh</w:t>
            </w:r>
            <w:proofErr w:type="spellEnd"/>
            <w:r w:rsidRPr="004E6530">
              <w:rPr>
                <w:sz w:val="16"/>
                <w:szCs w:val="16"/>
              </w:rPr>
              <w:t xml:space="preserve"> references, and the views of scholars, then present their reasoning when defending, responding to, or comparing a particular viewpoint.</w:t>
            </w:r>
          </w:p>
        </w:tc>
        <w:tc>
          <w:tcPr>
            <w:tcW w:w="2835" w:type="dxa"/>
          </w:tcPr>
          <w:p w14:paraId="281FF05B" w14:textId="0A6A20CF" w:rsidR="004E6530" w:rsidRPr="004E6530" w:rsidRDefault="004E6530" w:rsidP="004E6530">
            <w:pPr>
              <w:spacing w:before="72" w:after="24" w:line="288" w:lineRule="auto"/>
              <w:rPr>
                <w:sz w:val="16"/>
                <w:szCs w:val="16"/>
              </w:rPr>
            </w:pPr>
            <w:r w:rsidRPr="004E6530">
              <w:rPr>
                <w:sz w:val="16"/>
                <w:szCs w:val="16"/>
              </w:rPr>
              <w:t>Guide students not merely to state opinions, but to connect those opinions to legal grounds, compare arguments, and weigh the strength of different reasons.</w:t>
            </w:r>
          </w:p>
        </w:tc>
        <w:tc>
          <w:tcPr>
            <w:tcW w:w="1417" w:type="dxa"/>
          </w:tcPr>
          <w:p w14:paraId="6C54893B" w14:textId="24795455" w:rsidR="004E6530" w:rsidRPr="004E6530" w:rsidRDefault="004E6530" w:rsidP="004E6530">
            <w:pPr>
              <w:spacing w:before="72" w:after="24" w:line="288" w:lineRule="auto"/>
              <w:jc w:val="left"/>
              <w:rPr>
                <w:sz w:val="16"/>
                <w:szCs w:val="16"/>
              </w:rPr>
            </w:pPr>
            <w:r w:rsidRPr="004E6530">
              <w:rPr>
                <w:sz w:val="16"/>
                <w:szCs w:val="16"/>
              </w:rPr>
              <w:t>Observation, interviews, documentation</w:t>
            </w:r>
          </w:p>
        </w:tc>
      </w:tr>
      <w:tr w:rsidR="004E6530" w:rsidRPr="00340B9A" w14:paraId="252F4344" w14:textId="77777777" w:rsidTr="004E6530">
        <w:trPr>
          <w:cantSplit/>
          <w:jc w:val="center"/>
        </w:trPr>
        <w:tc>
          <w:tcPr>
            <w:tcW w:w="1560" w:type="dxa"/>
          </w:tcPr>
          <w:p w14:paraId="192E2C5C" w14:textId="0D6D3C92" w:rsidR="004E6530" w:rsidRPr="004E6530" w:rsidRDefault="004E6530" w:rsidP="004E6530">
            <w:pPr>
              <w:spacing w:before="72" w:after="24" w:line="288" w:lineRule="auto"/>
              <w:rPr>
                <w:sz w:val="16"/>
                <w:szCs w:val="16"/>
              </w:rPr>
            </w:pPr>
            <w:r w:rsidRPr="004E6530">
              <w:rPr>
                <w:sz w:val="16"/>
                <w:szCs w:val="16"/>
              </w:rPr>
              <w:t>Teacher Facilitation and Moderation</w:t>
            </w:r>
          </w:p>
        </w:tc>
        <w:tc>
          <w:tcPr>
            <w:tcW w:w="3544" w:type="dxa"/>
          </w:tcPr>
          <w:p w14:paraId="1B6882F1" w14:textId="32B956ED" w:rsidR="004E6530" w:rsidRPr="004E6530" w:rsidRDefault="004E6530" w:rsidP="004E6530">
            <w:pPr>
              <w:spacing w:before="72" w:after="24" w:line="288" w:lineRule="auto"/>
              <w:rPr>
                <w:sz w:val="16"/>
                <w:szCs w:val="16"/>
              </w:rPr>
            </w:pPr>
            <w:r w:rsidRPr="004E6530">
              <w:rPr>
                <w:sz w:val="16"/>
                <w:szCs w:val="16"/>
              </w:rPr>
              <w:t>The teacher acts as a facilitator and moderator who maintains balance in the space for expressing opinions, guides the flow of the discussion, and provides clarification on complex or potentially misleading points.</w:t>
            </w:r>
          </w:p>
        </w:tc>
        <w:tc>
          <w:tcPr>
            <w:tcW w:w="2835" w:type="dxa"/>
          </w:tcPr>
          <w:p w14:paraId="13740FE6" w14:textId="0B488A2F" w:rsidR="004E6530" w:rsidRPr="004E6530" w:rsidRDefault="004E6530" w:rsidP="004E6530">
            <w:pPr>
              <w:spacing w:before="72" w:after="24" w:line="288" w:lineRule="auto"/>
              <w:rPr>
                <w:sz w:val="16"/>
                <w:szCs w:val="16"/>
              </w:rPr>
            </w:pPr>
            <w:r w:rsidRPr="004E6530">
              <w:rPr>
                <w:sz w:val="16"/>
                <w:szCs w:val="16"/>
              </w:rPr>
              <w:t>Creating a focused space for dialogue, ensuring balanced student participation, and preventing differences in perspective from escalating into conceptual misunderstandings or interpersonal conflicts.</w:t>
            </w:r>
          </w:p>
        </w:tc>
        <w:tc>
          <w:tcPr>
            <w:tcW w:w="1417" w:type="dxa"/>
          </w:tcPr>
          <w:p w14:paraId="6692B4CE" w14:textId="78E9D682" w:rsidR="004E6530" w:rsidRPr="004E6530" w:rsidRDefault="004E6530" w:rsidP="004E6530">
            <w:pPr>
              <w:spacing w:before="72" w:after="24" w:line="288" w:lineRule="auto"/>
              <w:jc w:val="left"/>
              <w:rPr>
                <w:sz w:val="16"/>
                <w:szCs w:val="16"/>
              </w:rPr>
            </w:pPr>
            <w:r w:rsidRPr="004E6530">
              <w:rPr>
                <w:sz w:val="16"/>
                <w:szCs w:val="16"/>
              </w:rPr>
              <w:t>Interviews, observation</w:t>
            </w:r>
          </w:p>
        </w:tc>
      </w:tr>
      <w:tr w:rsidR="004E6530" w:rsidRPr="00340B9A" w14:paraId="6B2E12C8" w14:textId="77777777" w:rsidTr="004E6530">
        <w:trPr>
          <w:cantSplit/>
          <w:jc w:val="center"/>
        </w:trPr>
        <w:tc>
          <w:tcPr>
            <w:tcW w:w="1560" w:type="dxa"/>
          </w:tcPr>
          <w:p w14:paraId="735A05DA" w14:textId="20AA4BD5" w:rsidR="004E6530" w:rsidRPr="004E6530" w:rsidRDefault="004E6530" w:rsidP="004E6530">
            <w:pPr>
              <w:spacing w:before="72" w:after="24" w:line="288" w:lineRule="auto"/>
              <w:rPr>
                <w:sz w:val="16"/>
                <w:szCs w:val="16"/>
              </w:rPr>
            </w:pPr>
            <w:r w:rsidRPr="004E6530">
              <w:rPr>
                <w:sz w:val="16"/>
                <w:szCs w:val="16"/>
              </w:rPr>
              <w:t>Managing Differences and Closing the Lesson</w:t>
            </w:r>
          </w:p>
        </w:tc>
        <w:tc>
          <w:tcPr>
            <w:tcW w:w="3544" w:type="dxa"/>
          </w:tcPr>
          <w:p w14:paraId="5F9F5E93" w14:textId="402C0066" w:rsidR="004E6530" w:rsidRPr="004E6530" w:rsidRDefault="004E6530" w:rsidP="004E6530">
            <w:pPr>
              <w:spacing w:before="72" w:after="24" w:line="288" w:lineRule="auto"/>
              <w:rPr>
                <w:sz w:val="16"/>
                <w:szCs w:val="16"/>
              </w:rPr>
            </w:pPr>
            <w:r w:rsidRPr="004E6530">
              <w:rPr>
                <w:sz w:val="16"/>
                <w:szCs w:val="16"/>
              </w:rPr>
              <w:t>Differences of opinion are guided to remain within the bounds of academic discourse and proper discussion etiquette. The learning session concludes with an evaluation of students’ active participation, discussion etiquette, and work outcomes.</w:t>
            </w:r>
          </w:p>
        </w:tc>
        <w:tc>
          <w:tcPr>
            <w:tcW w:w="2835" w:type="dxa"/>
          </w:tcPr>
          <w:p w14:paraId="7FFC1A45" w14:textId="7318109C" w:rsidR="004E6530" w:rsidRPr="004E6530" w:rsidRDefault="004E6530" w:rsidP="004E6530">
            <w:pPr>
              <w:spacing w:before="72" w:after="24" w:line="288" w:lineRule="auto"/>
              <w:rPr>
                <w:sz w:val="16"/>
                <w:szCs w:val="16"/>
              </w:rPr>
            </w:pPr>
            <w:r w:rsidRPr="004E6530">
              <w:rPr>
                <w:sz w:val="16"/>
                <w:szCs w:val="16"/>
              </w:rPr>
              <w:t>Strengthening students’ ability to respond to differences in a reasoned and civil manner while providing an opportunity to evaluate the learning process and outcomes.</w:t>
            </w:r>
          </w:p>
        </w:tc>
        <w:tc>
          <w:tcPr>
            <w:tcW w:w="1417" w:type="dxa"/>
          </w:tcPr>
          <w:p w14:paraId="0588C65A" w14:textId="7D421C6A" w:rsidR="004E6530" w:rsidRPr="004E6530" w:rsidRDefault="004E6530" w:rsidP="004E6530">
            <w:pPr>
              <w:spacing w:before="72" w:after="24" w:line="288" w:lineRule="auto"/>
              <w:jc w:val="left"/>
              <w:rPr>
                <w:sz w:val="16"/>
                <w:szCs w:val="16"/>
              </w:rPr>
            </w:pPr>
            <w:r w:rsidRPr="004E6530">
              <w:rPr>
                <w:sz w:val="16"/>
                <w:szCs w:val="16"/>
              </w:rPr>
              <w:t>Interviews, observations, documentation</w:t>
            </w:r>
          </w:p>
        </w:tc>
      </w:tr>
    </w:tbl>
    <w:p w14:paraId="617339A4" w14:textId="77777777" w:rsidR="004E6530" w:rsidRDefault="004E6530" w:rsidP="004E6530">
      <w:pPr>
        <w:spacing w:line="288" w:lineRule="auto"/>
        <w:ind w:firstLine="180"/>
        <w:sectPr w:rsidR="004E6530" w:rsidSect="004E6530">
          <w:type w:val="continuous"/>
          <w:pgSz w:w="11906" w:h="16838"/>
          <w:pgMar w:top="2036" w:right="1134" w:bottom="1134" w:left="1134" w:header="1134" w:footer="567" w:gutter="0"/>
          <w:cols w:space="451"/>
        </w:sectPr>
      </w:pPr>
    </w:p>
    <w:p w14:paraId="541EE8FB" w14:textId="77777777" w:rsidR="005C4832" w:rsidRDefault="005C4832" w:rsidP="005C4832">
      <w:pPr>
        <w:spacing w:line="288" w:lineRule="auto"/>
        <w:ind w:firstLine="180"/>
      </w:pPr>
      <w:r>
        <w:t xml:space="preserve">Research findings indicate that the implementation of “Controversial Issues” in contemporary </w:t>
      </w:r>
      <w:proofErr w:type="spellStart"/>
      <w:r>
        <w:t>fiqh</w:t>
      </w:r>
      <w:proofErr w:type="spellEnd"/>
      <w:r>
        <w:t xml:space="preserve"> instruction begins with planning that intentionally incorporates current issues into the instructional design. Controversial issues do not arise spontaneously during discussions but are considered from the outset during the development of lesson plans or teaching modules and the selection of topics. Fiqh teachers explained that planning involves incorporating contemporary </w:t>
      </w:r>
      <w:proofErr w:type="spellStart"/>
      <w:r>
        <w:t>fiqh</w:t>
      </w:r>
      <w:proofErr w:type="spellEnd"/>
      <w:r>
        <w:t xml:space="preserve"> topics while providing guidance on how to conduct discussions to ensure the learning process remains conducive. The selected issues include the legal rulings on digital financial transactions, professional zakat, and organ transplantation. The next stage begins with problem orientation by presenting news articles or real-life cases, before students are guided to explore various legal arguments and the views of Islamic scholars.</w:t>
      </w:r>
    </w:p>
    <w:p w14:paraId="733F50D1" w14:textId="212C34F4" w:rsidR="005C4832" w:rsidRDefault="005C4832" w:rsidP="00EA4C3F">
      <w:pPr>
        <w:spacing w:line="288" w:lineRule="auto"/>
        <w:ind w:left="180"/>
      </w:pPr>
      <w:r w:rsidRPr="00EA4C3F">
        <w:rPr>
          <w:i/>
          <w:iCs/>
        </w:rPr>
        <w:t xml:space="preserve">“Planning involves developing lesson plans or teaching modules that include contemporary </w:t>
      </w:r>
      <w:proofErr w:type="spellStart"/>
      <w:r w:rsidRPr="00EA4C3F">
        <w:rPr>
          <w:i/>
          <w:iCs/>
        </w:rPr>
        <w:t>fiqh</w:t>
      </w:r>
      <w:proofErr w:type="spellEnd"/>
      <w:r w:rsidRPr="00EA4C3F">
        <w:rPr>
          <w:i/>
          <w:iCs/>
        </w:rPr>
        <w:t xml:space="preserve"> topics, as well as providing guidance on how to conduct discussions to ensure a conducive classroom atmosphere. The issues discussed include the legal rulings on digital financial transactions, professional zakat, and organ transplants. The lesson then begins with a problem-based orientation through news segments or real-life cases. Afterward, students are divided into several groups to explore various religious arguments and the views of Islamic scholars.” </w:t>
      </w:r>
      <w:r>
        <w:t>(T)</w:t>
      </w:r>
    </w:p>
    <w:p w14:paraId="0A282543" w14:textId="77777777" w:rsidR="00EA4C3F" w:rsidRDefault="005C4832" w:rsidP="005C4832">
      <w:pPr>
        <w:spacing w:line="288" w:lineRule="auto"/>
        <w:ind w:firstLine="180"/>
      </w:pPr>
      <w:r>
        <w:t xml:space="preserve">This quote demonstrates that contemporary issues are not treated as supplementary material but are constructed as the starting point for problems that students must consider. This is important because the defining characteristic of “Controversial Issues” in this study lies in the shift in the nature of the material </w:t>
      </w:r>
      <w:r>
        <w:lastRenderedPageBreak/>
        <w:t xml:space="preserve">from </w:t>
      </w:r>
      <w:r w:rsidRPr="00EA4C3F">
        <w:rPr>
          <w:i/>
          <w:iCs/>
        </w:rPr>
        <w:t xml:space="preserve">“something that must be explained” </w:t>
      </w:r>
      <w:r>
        <w:t xml:space="preserve">to </w:t>
      </w:r>
      <w:r w:rsidRPr="00EA4C3F">
        <w:rPr>
          <w:i/>
          <w:iCs/>
        </w:rPr>
        <w:t xml:space="preserve">“an issue that must be examined.” </w:t>
      </w:r>
      <w:r>
        <w:t xml:space="preserve">News reports or real-life cases serve as catalysts that bring </w:t>
      </w:r>
      <w:proofErr w:type="spellStart"/>
      <w:r>
        <w:t>fiqh</w:t>
      </w:r>
      <w:proofErr w:type="spellEnd"/>
      <w:r>
        <w:t xml:space="preserve"> issues out of the abstract context of textbooks and connect them to situations students can recognize. The madrasah principal’s statement reinforces this pattern: </w:t>
      </w:r>
    </w:p>
    <w:p w14:paraId="798D78C3" w14:textId="29276658" w:rsidR="005C4832" w:rsidRPr="00EA4C3F" w:rsidRDefault="005C4832" w:rsidP="00EA4C3F">
      <w:pPr>
        <w:spacing w:line="288" w:lineRule="auto"/>
        <w:ind w:left="180"/>
      </w:pPr>
      <w:r w:rsidRPr="00EA4C3F">
        <w:rPr>
          <w:i/>
          <w:iCs/>
        </w:rPr>
        <w:t xml:space="preserve">“Issues such as digital transactions and zakat are considered relevant to students’ lives, while organ transplantation illustrates that societal developments can give rise to new issues requiring </w:t>
      </w:r>
      <w:proofErr w:type="spellStart"/>
      <w:r w:rsidRPr="00EA4C3F">
        <w:rPr>
          <w:i/>
          <w:iCs/>
        </w:rPr>
        <w:t>fiqh</w:t>
      </w:r>
      <w:proofErr w:type="spellEnd"/>
      <w:r w:rsidRPr="00EA4C3F">
        <w:rPr>
          <w:i/>
          <w:iCs/>
        </w:rPr>
        <w:t xml:space="preserve"> analysis. When issues are viewed as real-world, students’ questions also tend to stem from experiences they observe or hear about in their surroundings</w:t>
      </w:r>
      <w:r w:rsidR="00EA4C3F" w:rsidRPr="00EA4C3F">
        <w:rPr>
          <w:i/>
          <w:iCs/>
        </w:rPr>
        <w:t xml:space="preserve">.” </w:t>
      </w:r>
      <w:r w:rsidR="00EA4C3F">
        <w:t>(P).</w:t>
      </w:r>
    </w:p>
    <w:p w14:paraId="2874FA16" w14:textId="3A442CF4" w:rsidR="005C4832" w:rsidRDefault="005C4832" w:rsidP="005C4832">
      <w:pPr>
        <w:spacing w:line="288" w:lineRule="auto"/>
        <w:ind w:firstLine="180"/>
      </w:pPr>
      <w:r>
        <w:t xml:space="preserve">The pedagogical significance of this pattern becomes clearer through the students’ experiences. One </w:t>
      </w:r>
      <w:r w:rsidR="00EA4C3F">
        <w:t xml:space="preserve">S10 </w:t>
      </w:r>
      <w:r>
        <w:t xml:space="preserve">student stated that this learning experience </w:t>
      </w:r>
      <w:r w:rsidRPr="00EA4C3F">
        <w:rPr>
          <w:i/>
          <w:iCs/>
        </w:rPr>
        <w:t xml:space="preserve">“changed my mindset—I realized that </w:t>
      </w:r>
      <w:proofErr w:type="spellStart"/>
      <w:r w:rsidRPr="00EA4C3F">
        <w:rPr>
          <w:i/>
          <w:iCs/>
        </w:rPr>
        <w:t>fiqh</w:t>
      </w:r>
      <w:proofErr w:type="spellEnd"/>
      <w:r w:rsidRPr="00EA4C3F">
        <w:rPr>
          <w:i/>
          <w:iCs/>
        </w:rPr>
        <w:t xml:space="preserve"> is actually very broad.” </w:t>
      </w:r>
      <w:r>
        <w:t xml:space="preserve">This statement can be interpreted not merely as a positive response to the instruction, but as an indication that exposure to contemporary issues and differing perspectives broadens the way students interpret the subject matter of </w:t>
      </w:r>
      <w:proofErr w:type="spellStart"/>
      <w:r>
        <w:t>fiqh</w:t>
      </w:r>
      <w:proofErr w:type="spellEnd"/>
      <w:r>
        <w:t xml:space="preserve">. The perception that </w:t>
      </w:r>
      <w:proofErr w:type="spellStart"/>
      <w:r>
        <w:t>fiqh</w:t>
      </w:r>
      <w:proofErr w:type="spellEnd"/>
      <w:r>
        <w:t xml:space="preserve"> has a broad scope emerged alongside their experiences of listening to and responding to their peers’ opinions, as well as when they encountered issues such as “</w:t>
      </w:r>
      <w:proofErr w:type="spellStart"/>
      <w:r>
        <w:t>paylater</w:t>
      </w:r>
      <w:proofErr w:type="spellEnd"/>
      <w:r>
        <w:t>,” which, according to J, made him more cautious in understanding financial matters.</w:t>
      </w:r>
    </w:p>
    <w:p w14:paraId="466067C7" w14:textId="325462EB" w:rsidR="005C4832" w:rsidRPr="00EA4C3F" w:rsidRDefault="005C4832" w:rsidP="00EA4C3F">
      <w:pPr>
        <w:spacing w:line="288" w:lineRule="auto"/>
        <w:ind w:left="180"/>
      </w:pPr>
      <w:r w:rsidRPr="00EA4C3F">
        <w:rPr>
          <w:i/>
          <w:iCs/>
        </w:rPr>
        <w:t xml:space="preserve">“This learning experience changed my mindset—I realized that </w:t>
      </w:r>
      <w:proofErr w:type="spellStart"/>
      <w:r w:rsidRPr="00EA4C3F">
        <w:rPr>
          <w:i/>
          <w:iCs/>
        </w:rPr>
        <w:t>fiqh</w:t>
      </w:r>
      <w:proofErr w:type="spellEnd"/>
      <w:r w:rsidRPr="00EA4C3F">
        <w:rPr>
          <w:i/>
          <w:iCs/>
        </w:rPr>
        <w:t xml:space="preserve"> is actually very broad. We also learned to listen to and respond to our peers’ opinions. One thing that particularly interested me was the ruling on ‘</w:t>
      </w:r>
      <w:proofErr w:type="spellStart"/>
      <w:r w:rsidRPr="00EA4C3F">
        <w:rPr>
          <w:i/>
          <w:iCs/>
        </w:rPr>
        <w:t>paylater</w:t>
      </w:r>
      <w:proofErr w:type="spellEnd"/>
      <w:r w:rsidRPr="00EA4C3F">
        <w:rPr>
          <w:i/>
          <w:iCs/>
        </w:rPr>
        <w:t xml:space="preserve">,’ because it made me more cautious about financial matters. So, the </w:t>
      </w:r>
      <w:proofErr w:type="spellStart"/>
      <w:r w:rsidRPr="00EA4C3F">
        <w:rPr>
          <w:i/>
          <w:iCs/>
        </w:rPr>
        <w:t>fiqh</w:t>
      </w:r>
      <w:proofErr w:type="spellEnd"/>
      <w:r w:rsidRPr="00EA4C3F">
        <w:rPr>
          <w:i/>
          <w:iCs/>
        </w:rPr>
        <w:t xml:space="preserve"> we study isn’t just about the material in the textbook, but also about real-life issues we actually encounter.” </w:t>
      </w:r>
      <w:r w:rsidR="00EA4C3F">
        <w:t>(S10)</w:t>
      </w:r>
    </w:p>
    <w:p w14:paraId="10DB1CA3" w14:textId="77777777" w:rsidR="00F7486A" w:rsidRDefault="00F7486A" w:rsidP="00F7486A">
      <w:pPr>
        <w:spacing w:line="288" w:lineRule="auto"/>
        <w:ind w:firstLine="180"/>
      </w:pPr>
      <w:r>
        <w:t xml:space="preserve">The “Controversial Issues” module positions contemporary </w:t>
      </w:r>
      <w:proofErr w:type="spellStart"/>
      <w:r>
        <w:t>fiqh</w:t>
      </w:r>
      <w:proofErr w:type="spellEnd"/>
      <w:r>
        <w:t xml:space="preserve"> topics as catalysts for exploration and the exchange of perspectives. Students are not merely guided to understand legal rulings but are encouraged to compare legal arguments, scholars’ viewpoints, and the reasoning behind each opinion. This approach ensures that controversy serves as a structured component of the learning process, rather than merely a debate among students.</w:t>
      </w:r>
    </w:p>
    <w:p w14:paraId="600A3D99" w14:textId="77777777" w:rsidR="00F7486A" w:rsidRDefault="00F7486A" w:rsidP="00F7486A">
      <w:pPr>
        <w:spacing w:line="288" w:lineRule="auto"/>
        <w:ind w:firstLine="180"/>
      </w:pPr>
      <w:r>
        <w:t>The madrasah principal explained that discussions are managed in stages so that all students have the opportunity to participate:</w:t>
      </w:r>
    </w:p>
    <w:p w14:paraId="430C3623" w14:textId="3A2BD08C" w:rsidR="00F7486A" w:rsidRPr="00F7486A" w:rsidRDefault="00F7486A" w:rsidP="00F7486A">
      <w:pPr>
        <w:spacing w:line="288" w:lineRule="auto"/>
        <w:ind w:left="180"/>
        <w:rPr>
          <w:i/>
          <w:iCs/>
        </w:rPr>
      </w:pPr>
      <w:r w:rsidRPr="00F7486A">
        <w:rPr>
          <w:i/>
          <w:iCs/>
        </w:rPr>
        <w:t xml:space="preserve">“It’s usually done in stages. Not all students have to speak in front of the class right away. They can start with group discussions first. From small groups, students then become more confident in expressing their opinions. Groups must be organized so that active students don’t just end up with other active students. Teachers need to consider students’ personalities so that those who are usually passive also get a chance.” </w:t>
      </w:r>
      <w:r w:rsidRPr="00F7486A">
        <w:t>(P)</w:t>
      </w:r>
      <w:r>
        <w:t>.</w:t>
      </w:r>
    </w:p>
    <w:p w14:paraId="114C27AF" w14:textId="77777777" w:rsidR="00F7486A" w:rsidRDefault="00F7486A" w:rsidP="00F7486A">
      <w:pPr>
        <w:spacing w:line="288" w:lineRule="auto"/>
        <w:ind w:firstLine="180"/>
      </w:pPr>
      <w:r>
        <w:t xml:space="preserve">These findings show that group structure and teacher </w:t>
      </w:r>
      <w:r>
        <w:t xml:space="preserve">facilitation play a crucial role in creating a space for dialogue. Students also begin to view differences of opinion as a natural part of </w:t>
      </w:r>
      <w:proofErr w:type="spellStart"/>
      <w:r>
        <w:t>fiqh</w:t>
      </w:r>
      <w:proofErr w:type="spellEnd"/>
      <w:r>
        <w:t xml:space="preserve"> learning, rather than as a conflict that must result in one side being wrong. The madrasah principal emphasized:</w:t>
      </w:r>
    </w:p>
    <w:p w14:paraId="2996F2A0" w14:textId="6DA727B2" w:rsidR="00F7486A" w:rsidRPr="00F7486A" w:rsidRDefault="00F7486A" w:rsidP="00F7486A">
      <w:pPr>
        <w:spacing w:line="288" w:lineRule="auto"/>
        <w:ind w:left="180"/>
        <w:rPr>
          <w:i/>
          <w:iCs/>
        </w:rPr>
      </w:pPr>
      <w:r w:rsidRPr="00F7486A">
        <w:rPr>
          <w:i/>
          <w:iCs/>
        </w:rPr>
        <w:t xml:space="preserve">“At first, some assumed that if opinions differed, one of them must be wrong. But through discussion, they began to understand that in certain </w:t>
      </w:r>
      <w:proofErr w:type="spellStart"/>
      <w:r w:rsidRPr="00F7486A">
        <w:rPr>
          <w:i/>
          <w:iCs/>
        </w:rPr>
        <w:t>fiqh</w:t>
      </w:r>
      <w:proofErr w:type="spellEnd"/>
      <w:r w:rsidRPr="00F7486A">
        <w:rPr>
          <w:i/>
          <w:iCs/>
        </w:rPr>
        <w:t xml:space="preserve"> issues, there are indeed differing opinions and reasons behind them. They learned that not all issues must be viewed in black-and-white terms. They need to examine the evidence, the methods of interpreting that evidence, and the reasoning behind the opinions. That is part of critical thinking.” </w:t>
      </w:r>
      <w:r w:rsidRPr="00F7486A">
        <w:t>(P).</w:t>
      </w:r>
    </w:p>
    <w:p w14:paraId="10FF0D5A" w14:textId="77777777" w:rsidR="00F7486A" w:rsidRDefault="00F7486A" w:rsidP="00F7486A">
      <w:pPr>
        <w:spacing w:line="288" w:lineRule="auto"/>
        <w:ind w:firstLine="180"/>
      </w:pPr>
      <w:r>
        <w:t xml:space="preserve">These changes are reflected in the students’ experiences. S3 stated, </w:t>
      </w:r>
      <w:r w:rsidRPr="00F7486A">
        <w:rPr>
          <w:i/>
          <w:iCs/>
        </w:rPr>
        <w:t xml:space="preserve">“Well, we’re learning to listen to and respond to our classmates’ opinions” </w:t>
      </w:r>
      <w:r>
        <w:t xml:space="preserve">(S3), and that the learning process has helped them get used to </w:t>
      </w:r>
      <w:r w:rsidRPr="00F7486A">
        <w:rPr>
          <w:i/>
          <w:iCs/>
        </w:rPr>
        <w:t xml:space="preserve">“weighing which arguments have valid reasoning” </w:t>
      </w:r>
      <w:r>
        <w:t>(S3). These statements indicate that engagement with controversial issues has begun to shift students’ responses from simply accepting opinions outright to listening, considering, and examining the basis of the arguments.</w:t>
      </w:r>
    </w:p>
    <w:p w14:paraId="2E772FD2" w14:textId="77777777" w:rsidR="00F7486A" w:rsidRDefault="00F7486A" w:rsidP="00F7486A">
      <w:pPr>
        <w:spacing w:line="288" w:lineRule="auto"/>
        <w:ind w:firstLine="180"/>
      </w:pPr>
      <w:r>
        <w:t xml:space="preserve">The teacher’s role is also a crucial element in maintaining the quality of this process. Teachers do not merely present material but guide students toward relevant sources, pose questions, and steer the course of the </w:t>
      </w:r>
      <w:proofErr w:type="gramStart"/>
      <w:r>
        <w:t>discussion .</w:t>
      </w:r>
      <w:proofErr w:type="gramEnd"/>
      <w:r>
        <w:t xml:space="preserve"> This was emphasized in the interviews:</w:t>
      </w:r>
    </w:p>
    <w:p w14:paraId="185C57A3" w14:textId="7A8824F4" w:rsidR="00F7486A" w:rsidRPr="00F7486A" w:rsidRDefault="00F7486A" w:rsidP="00F7486A">
      <w:pPr>
        <w:spacing w:line="288" w:lineRule="auto"/>
        <w:ind w:left="180"/>
        <w:rPr>
          <w:i/>
          <w:iCs/>
        </w:rPr>
      </w:pPr>
      <w:r w:rsidRPr="00F7486A">
        <w:rPr>
          <w:i/>
          <w:iCs/>
        </w:rPr>
        <w:t xml:space="preserve">“Teachers, as neutral facilitators and moderators, ensure that every student has the opportunity to express their views. Teachers do not merely present material; they must prepare issues, sources, and questions that can stimulate students’ thinking.” </w:t>
      </w:r>
      <w:r w:rsidRPr="00F7486A">
        <w:t>(T).</w:t>
      </w:r>
    </w:p>
    <w:p w14:paraId="134E62BB" w14:textId="32C2C895" w:rsidR="00F7486A" w:rsidRDefault="00F7486A" w:rsidP="00F7486A">
      <w:pPr>
        <w:spacing w:line="288" w:lineRule="auto"/>
        <w:ind w:firstLine="180"/>
      </w:pPr>
      <w:r>
        <w:t xml:space="preserve">Overall, the implementation of “Controversial Issues” shapes </w:t>
      </w:r>
      <w:proofErr w:type="spellStart"/>
      <w:r>
        <w:t>fiqh</w:t>
      </w:r>
      <w:proofErr w:type="spellEnd"/>
      <w:r>
        <w:t xml:space="preserve"> learning that connects real-world issues, diversity of legal perspectives, exploration of sources, and guided dialogue. The key finding at this stage is that controversy is used as a pedagogical structure to train students to understand differences while justifying their opinions based on legal grounds and relevant reasoning.</w:t>
      </w:r>
    </w:p>
    <w:p w14:paraId="69147299" w14:textId="16283A9C" w:rsidR="0055647B" w:rsidRDefault="0055647B" w:rsidP="00F7486A">
      <w:pPr>
        <w:spacing w:line="288" w:lineRule="auto"/>
        <w:ind w:firstLine="180"/>
      </w:pPr>
      <w:r w:rsidRPr="0055647B">
        <w:t>The research findings indicate that “Controversial Issues” is not merely a discussion method but functions as a pedagogical framework because the learning process is designed through issue selection, source presentation, exchange of perspectives, argumentation, and teacher moderation. This pattern aligns with Shi et al., who demonstrated that teaching controversial issues requires teachers to engage in dialogic interactions to guide students in considering, negotiating, and debating opposing perspectives, including through questions, rebuttals, and critiques of students’ arguments</w:t>
      </w:r>
      <w:r w:rsidR="00A13823">
        <w:fldChar w:fldCharType="begin" w:fldLock="1"/>
      </w:r>
      <w:r w:rsidR="008021F6">
        <w:instrText>ADDIN CSL_CITATION {"citationItems":[{"id":"ITEM-1","itemData":{"DOI":"10.1080/09500782.2023.2240292","ISSN":"09500782","abstract":"When enacting whole-class discussions on open-ended, controversial issues, teachers are expected to flexibly and effectively employ various discursive moves to promote two-sided discussion to enabl...","author":[{"dropping-particle":"","family":"Shi","given":"Yuchen","non-dropping-particle":"","parse-names":false,"suffix":""},{"dropping-particle":"","family":"Zhang","given":"Zihong","non-dropping-particle":"","parse-names":false,"suffix":""},{"dropping-particle":"","family":"Cao","given":"Shu","non-dropping-particle":"","parse-names":false,"suffix":""},{"dropping-particle":"","family":"Liu","given":"Qunying","non-dropping-particle":"","parse-names":false,"suffix":""}],"container-title":"Language and Education","id":"ITEM-1","issue":"2","issued":{"date-parts":[["2024"]]},"page":"303-319","publisher":"Routledge","title":"Dialogic teaching of controversial issues: discursive moves to enact two-sided discussions","type":"article-journal","volume":"38"},"uris":["http://www.mendeley.com/documents/?uuid=ba9b8447-0502-371d-876b-ff336e1e1d15"]}],"mendeley":{"formattedCitation":"[26]","plainTextFormattedCitation":"[26]","previouslyFormattedCitation":"[26]"},"properties":{"noteIndex":0},"schema":"https://github.com/citation-style-language/schema/raw/master/csl-citation.json"}</w:instrText>
      </w:r>
      <w:r w:rsidR="00A13823">
        <w:fldChar w:fldCharType="separate"/>
      </w:r>
      <w:r w:rsidR="00A13823" w:rsidRPr="00A13823">
        <w:rPr>
          <w:noProof/>
        </w:rPr>
        <w:t>[26]</w:t>
      </w:r>
      <w:r w:rsidR="00A13823">
        <w:fldChar w:fldCharType="end"/>
      </w:r>
      <w:r w:rsidRPr="0055647B">
        <w:t xml:space="preserve"> . Research by </w:t>
      </w:r>
      <w:proofErr w:type="spellStart"/>
      <w:r w:rsidRPr="0055647B">
        <w:t>Wansink</w:t>
      </w:r>
      <w:proofErr w:type="spellEnd"/>
      <w:r w:rsidRPr="0055647B">
        <w:t xml:space="preserve"> et al. also shows that the quality of the classroom environment and teacher behavior characterized by agency and support are associated with students’ readiness to participate in discussions of controversial issues</w:t>
      </w:r>
      <w:r w:rsidR="008021F6">
        <w:fldChar w:fldCharType="begin" w:fldLock="1"/>
      </w:r>
      <w:r w:rsidR="008021F6">
        <w:instrText>ADDIN CSL_CITATION {"citationItems":[{"id":"ITEM-1","itemData":{"DOI":"10.1016/J.TATE.2023.104044","ISSN":"0742-051X","abstract":"Discussing controversial issues is an important means to support secondary school students' democratic citizenship. Using questionnaires, we investigated how students' (N = 284) willingness to participate in such discussions is associated with their safety perceptions (identity threat, classroom opinion climate, teacher interpersonal behavior) and personality traits (extraversion). We used the controversial Dutch tradition of Black Pete as a case. Exploratory network analysis showed that students’ willingness to participate increased when they experienced identity threat. Our findings suggest that teachers can encourage student participation in discussions about controversial issues by creating a safe classroom environment.","author":[{"dropping-particle":"","family":"Gert-Jan Wansink","given":"Bjorn","non-dropping-particle":"","parse-names":false,"suffix":""},{"dropping-particle":"","family":"Mol","given":"Hanneke","non-dropping-particle":"","parse-names":false,"suffix":""},{"dropping-particle":"","family":"Kortekaas","given":"Jaël","non-dropping-particle":"","parse-names":false,"suffix":""},{"dropping-particle":"","family":"Mainhard","given":"Tim","non-dropping-particle":"","parse-names":false,"suffix":""}],"container-title":"Teaching and Teacher Education","id":"ITEM-1","issued":{"date-parts":[["2023","4","1"]]},"page":"104044","publisher":"Pergamon","title":"Discussing controversial issues in the classroom: Exploring students' safety perceptions and their willingness to participate","type":"article-journal","volume":"125"},"uris":["http://www.mendeley.com/documents/?uuid=865b4c3e-0a6a-3ac8-b355-988a5df3a961"]}],"mendeley":{"formattedCitation":"[27]","plainTextFormattedCitation":"[27]","previouslyFormattedCitation":"[27]"},"properties":{"noteIndex":0},"schema":"https://github.com/citation-style-language/schema/raw/master/csl-citation.json"}</w:instrText>
      </w:r>
      <w:r w:rsidR="008021F6">
        <w:fldChar w:fldCharType="separate"/>
      </w:r>
      <w:r w:rsidR="008021F6" w:rsidRPr="008021F6">
        <w:rPr>
          <w:noProof/>
        </w:rPr>
        <w:t>[27]</w:t>
      </w:r>
      <w:r w:rsidR="008021F6">
        <w:fldChar w:fldCharType="end"/>
      </w:r>
      <w:r w:rsidRPr="0055647B">
        <w:t xml:space="preserve"> . In the context of this study, these characteristics are evident when the teacher does not provide a </w:t>
      </w:r>
      <w:r w:rsidRPr="0055647B">
        <w:lastRenderedPageBreak/>
        <w:t>single answer from the outset but instead guides students to compare the arguments and views of religious scholars while ensuring that differences remain within the bounds of respectful discussion. In other words, the key feature of the “Controversial Issues” pedagogy lies in the structure for managing differing perspectives, not merely in the existence of discussion itself.</w:t>
      </w:r>
    </w:p>
    <w:p w14:paraId="5630DDA4" w14:textId="7A0048D1" w:rsidR="0055647B" w:rsidRDefault="0055647B" w:rsidP="00F7486A">
      <w:pPr>
        <w:spacing w:line="288" w:lineRule="auto"/>
        <w:ind w:firstLine="180"/>
      </w:pPr>
      <w:r w:rsidRPr="0055647B">
        <w:t xml:space="preserve">Contemporary </w:t>
      </w:r>
      <w:proofErr w:type="spellStart"/>
      <w:r w:rsidRPr="0055647B">
        <w:t>fiqh</w:t>
      </w:r>
      <w:proofErr w:type="spellEnd"/>
      <w:r w:rsidRPr="0055647B">
        <w:t xml:space="preserve"> issues provide a context that allows students’ thinking processes to evolve from engagement with real-world problems toward an appreciation of the plurality of viewpoints, the examination of evidence, the comparison of arguments, and the formation of reasoned judgments. This finding expands upon studies of problem-based </w:t>
      </w:r>
      <w:proofErr w:type="spellStart"/>
      <w:r w:rsidRPr="0055647B">
        <w:t>fiqh</w:t>
      </w:r>
      <w:proofErr w:type="spellEnd"/>
      <w:r w:rsidRPr="0055647B">
        <w:t xml:space="preserve"> learning, which generally position contextual problems as triggers for analysis and critical thinking; research by </w:t>
      </w:r>
      <w:proofErr w:type="spellStart"/>
      <w:r w:rsidRPr="0055647B">
        <w:t>Listrianti</w:t>
      </w:r>
      <w:proofErr w:type="spellEnd"/>
      <w:r w:rsidRPr="0055647B">
        <w:t xml:space="preserve"> et al. shows that PBL in </w:t>
      </w:r>
      <w:proofErr w:type="spellStart"/>
      <w:r w:rsidRPr="0055647B">
        <w:t>fiqh</w:t>
      </w:r>
      <w:proofErr w:type="spellEnd"/>
      <w:r w:rsidRPr="0055647B">
        <w:t xml:space="preserve"> learning encourages students to connect </w:t>
      </w:r>
      <w:proofErr w:type="spellStart"/>
      <w:r w:rsidRPr="0055647B">
        <w:t>fiqh</w:t>
      </w:r>
      <w:proofErr w:type="spellEnd"/>
      <w:r w:rsidRPr="0055647B">
        <w:t xml:space="preserve"> concepts with real-life situations, participate in discussions, and develop critical thinking</w:t>
      </w:r>
      <w:r w:rsidR="008021F6">
        <w:fldChar w:fldCharType="begin" w:fldLock="1"/>
      </w:r>
      <w:r w:rsidR="008021F6">
        <w:instrText>ADDIN CSL_CITATION {"citationItems":[{"id":"ITEM-1","itemData":{"DOI":"10.35719/JIER.V6I1.469","ISSN":"2716-0998","abstract":"This study examines the impact of Problem-Based Learning (PBL) on students' participation, critical thinking skills, and understanding of fiqh concepts. Using a qualitative case study approach, data were collected through in-depth interviews, classroom observations, and document analysis. The findings indicate that PBL fosters a dynamic and inclusive learning environment, encouraging previously passive students to actively engage in discussions, share ideas, and connect fiqh theory to real-life contexts. Teachers observed increased student confidence in questioning, arguing, and problem-solving. These results highlight PBL as an effective alternative for enhancing fiqh education in madrassas and other Islamic institutions. By integrating PBL, students not only improve their conceptual understanding but also develop essential critical and collaborative thinking skills for their future.","author":[{"dropping-particle":"","family":"Listrianti","given":"Feriska","non-dropping-particle":"","parse-names":false,"suffix":""},{"dropping-particle":"","family":"Hidayah","given":"Tutik","non-dropping-particle":"","parse-names":false,"suffix":""},{"dropping-particle":"","family":"Lama","given":"Alma Vorfi","non-dropping-particle":"","parse-names":false,"suffix":""}],"container-title":"Journal of Islamic Education Research","id":"ITEM-1","issue":"1","issued":{"date-parts":[["2025","3","11"]]},"page":"111-124","publisher":"IAIN Jember","title":"Enhancing Contextual Understanding and Critical Thinking in Fiqh Learning through Problem-Based Learning","type":"article-journal","volume":"6"},"uris":["http://www.mendeley.com/documents/?uuid=0c43607f-cae0-3e1a-b1e8-7a4066131a5b"]}],"mendeley":{"formattedCitation":"[28]","plainTextFormattedCitation":"[28]","previouslyFormattedCitation":"[28]"},"properties":{"noteIndex":0},"schema":"https://github.com/citation-style-language/schema/raw/master/csl-citation.json"}</w:instrText>
      </w:r>
      <w:r w:rsidR="008021F6">
        <w:fldChar w:fldCharType="separate"/>
      </w:r>
      <w:r w:rsidR="008021F6" w:rsidRPr="008021F6">
        <w:rPr>
          <w:noProof/>
        </w:rPr>
        <w:t>[28]</w:t>
      </w:r>
      <w:r w:rsidR="008021F6">
        <w:fldChar w:fldCharType="end"/>
      </w:r>
      <w:r w:rsidRPr="0055647B">
        <w:t xml:space="preserve"> . More recent studies also show that strategies such as PBL and research-based learning are widely used to foster critical thinking in </w:t>
      </w:r>
      <w:proofErr w:type="spellStart"/>
      <w:r w:rsidRPr="0055647B">
        <w:t>fiqh</w:t>
      </w:r>
      <w:proofErr w:type="spellEnd"/>
      <w:r w:rsidRPr="0055647B">
        <w:t xml:space="preserve"> instruction, although their implementation remains dependent on the specific strategies and learning context</w:t>
      </w:r>
      <w:r w:rsidR="008021F6">
        <w:fldChar w:fldCharType="begin" w:fldLock="1"/>
      </w:r>
      <w:r w:rsidR="008021F6">
        <w:instrText>ADDIN CSL_CITATION {"citationItems":[{"id":"ITEM-1","itemData":{"DOI":"10.32890/MJLI2025.22.2.3","ISSN":"2180-2483","abstract":"Purpose – Fiqh learning has traditionally focused on cognitive aspects, such as recalling concepts or matching problems with answers in classical texts. Consequently, it has often neglected the cultivation of learners' critical thinking skills. This study aims to analyze students’ critical thinking practices in fiqh learning, explore the instructional strategies employed, and identify the types of technology used in fiqh learning activities. Additionally, it investigates the continuity between critical thinking, learning strategies, and technology in the context of fiqh education.\nMethodology – A mixed methods approach was adopted, using an explanatory sequential design. The study began with quantitative data collection and analysis, followed by qualitative exploration. A total of 254 students from eight universities in East Java, Indonesia, participated in the study. Quantitative data were collected through online questionnaires and analyzed using descriptive statistics, correlation analysis, and tests of difference. Qualitative data were gathered through observations and interviews and analyzed through data condensation, presentation, and conclusion drawing.\nFindings – The results indicate that students’ critical thinking practices in fiqh learning are generally neutral and somewhat inconsistent. Problem-based learning (PBL) and research-based learning (RBL) emerged as the most frequently applied strategies, with PBL noted as particularly effective in fostering critical thinking. The study highlights that these strategies are most effective when supported by various forms of instructional media. The integration of contextual learning strategies with multimedia use enhances students’ critical thinking engagement in fiqh learning.\nSignificance – This study provides practical insights for lecturers in selecting appropriate learning strategies and media to promote critical thinking in fiqh education. While RBL and PBL strategies, supported by multimedia, show strong potential to enhance critical thinking, they are not definitive solutions. Effective strategies and media should be tailored to the characteristics and needs of students. Continued development of both RBL and PBL strategies and multimedia use is essential. Ultimately, fiqh learning in higher education should employ instructional approaches that enhance deeper understanding and critical engagement with the subject matter.","author":[{"dropping-particle":"","family":"Jazil","given":"Saiful","non-dropping-particle":"","parse-names":false,"suffix":""},{"dropping-particle":"","family":"Zahro","given":"Ahmad","non-dropping-particle":"","parse-names":false,"suffix":""},{"dropping-particle":"","family":"Abul A’La","given":"Bassam","non-dropping-particle":"","parse-names":false,"suffix":""},{"dropping-particle":"","family":"Rahman","given":"Moh Rifqi","non-dropping-particle":"","parse-names":false,"suffix":""},{"dropping-particle":"","family":"Sholihuddin","given":"Muh","non-dropping-particle":"","parse-names":false,"suffix":""},{"dropping-particle":"","family":"Ni’Am","given":"Syamsun","non-dropping-particle":"","parse-names":false,"suffix":""},{"dropping-particle":"","family":"Nurhayati","given":"Anin","non-dropping-particle":"","parse-names":false,"suffix":""}],"container-title":"Malaysian Journal of Learning and Instruction","id":"ITEM-1","issue":"2","issued":{"date-parts":[["2025","7","30"]]},"page":"51-81","publisher":"Universiti Utara Malaysia Press","title":"Enhancing Critical Thinking in Fiqh Learning: The Role of Strategies and Media Integration in Islamic Higher Education","type":"article-journal","volume":"22"},"uris":["http://www.mendeley.com/documents/?uuid=2a75df7c-01ad-3db0-b335-96fdf60ea8c1"]}],"mendeley":{"formattedCitation":"[29]","plainTextFormattedCitation":"[29]","previouslyFormattedCitation":"[29]"},"properties":{"noteIndex":0},"schema":"https://github.com/citation-style-language/schema/raw/master/csl-citation.json"}</w:instrText>
      </w:r>
      <w:r w:rsidR="008021F6">
        <w:fldChar w:fldCharType="separate"/>
      </w:r>
      <w:r w:rsidR="008021F6" w:rsidRPr="008021F6">
        <w:rPr>
          <w:noProof/>
        </w:rPr>
        <w:t>[29]</w:t>
      </w:r>
      <w:r w:rsidR="008021F6">
        <w:fldChar w:fldCharType="end"/>
      </w:r>
      <w:r w:rsidRPr="0055647B">
        <w:t xml:space="preserve"> . The findings of this study reveal a distinct characteristic: issues function not merely as problems to be solved, but as spaces where students confront a plurality of legal opinions and must assess the strength of the underlying reasoning. This aligns with Jarmer’s findings that religious education that exposes students to diverse interpretations can develop their ability to understand plurality, evaluate sources, and form judgments through deliberative reflection</w:t>
      </w:r>
      <w:r w:rsidR="008021F6">
        <w:fldChar w:fldCharType="begin" w:fldLock="1"/>
      </w:r>
      <w:r w:rsidR="008021F6">
        <w:instrText>ADDIN CSL_CITATION {"citationItems":[{"id":"ITEM-1","itemData":{"DOI":"10.1080/01416200.2024.2403400","ISSN":"17407931","abstract":"The critique of religion is one of the most important parts of religious education because it is connected to critical thinking. I cannot think of tools that are more important […] [than tools whic...","author":[{"dropping-particle":"","family":"Jarmer","given":"Sebastian Tjelle","non-dropping-particle":"","parse-names":false,"suffix":""}],"container-title":"British Journal of Religious Education","id":"ITEM-1","issue":"3","issued":{"date-parts":[["2025","7","3"]]},"page":"253-267","publisher":"Routledge","title":"Critique of religion and critical thinking in religious education","type":"article-journal","volume":"47"},"uris":["http://www.mendeley.com/documents/?uuid=2aba7958-eeba-3d49-a80f-129709b26f46"]}],"mendeley":{"formattedCitation":"[30]","plainTextFormattedCitation":"[30]","previouslyFormattedCitation":"[30]"},"properties":{"noteIndex":0},"schema":"https://github.com/citation-style-language/schema/raw/master/csl-citation.json"}</w:instrText>
      </w:r>
      <w:r w:rsidR="008021F6">
        <w:fldChar w:fldCharType="separate"/>
      </w:r>
      <w:r w:rsidR="008021F6" w:rsidRPr="008021F6">
        <w:rPr>
          <w:noProof/>
        </w:rPr>
        <w:t>[30]</w:t>
      </w:r>
      <w:r w:rsidR="008021F6">
        <w:fldChar w:fldCharType="end"/>
      </w:r>
      <w:r w:rsidRPr="0055647B">
        <w:t xml:space="preserve"> . This perspective clarifies that the contribution of “Controversial Issues” in </w:t>
      </w:r>
      <w:proofErr w:type="spellStart"/>
      <w:r w:rsidRPr="0055647B">
        <w:t>fiqh</w:t>
      </w:r>
      <w:proofErr w:type="spellEnd"/>
      <w:r w:rsidRPr="0055647B">
        <w:t xml:space="preserve"> is not to replace PBL, but rather to expand learning from problem-solving toward reasoned judgment regarding differing legal viewpoints.</w:t>
      </w:r>
    </w:p>
    <w:p w14:paraId="6051E31E" w14:textId="466421BE" w:rsidR="0055647B" w:rsidRDefault="0055647B" w:rsidP="00F7486A">
      <w:pPr>
        <w:spacing w:line="288" w:lineRule="auto"/>
        <w:ind w:firstLine="180"/>
      </w:pPr>
      <w:r w:rsidRPr="0055647B">
        <w:t>Research findings indicate that controversy does not automatically lead to critical thinking; controversy becomes productive when teachers provide issue framing, verifiable sources, a structure for interaction, and mediation of differing opinions. This is reinforced by research on the teaching of controversial issues, which shows that teachers need to create a safe space for discussion while guiding the exchange of perspectives so that students can participate constructively</w:t>
      </w:r>
      <w:r w:rsidR="008021F6">
        <w:fldChar w:fldCharType="begin" w:fldLock="1"/>
      </w:r>
      <w:r w:rsidR="008021F6">
        <w:instrText>ADDIN CSL_CITATION {"citationItems":[{"id":"ITEM-1","itemData":{"DOI":"10.1080/09500782.2023.2240292","ISSN":"09500782","abstract":"When enacting whole-class discussions on open-ended, controversial issues, teachers are expected to flexibly and effectively employ various discursive moves to promote two-sided discussion to enabl...","author":[{"dropping-particle":"","family":"Shi","given":"Yuchen","non-dropping-particle":"","parse-names":false,"suffix":""},{"dropping-particle":"","family":"Zhang","given":"Zihong","non-dropping-particle":"","parse-names":false,"suffix":""},{"dropping-particle":"","family":"Cao","given":"Shu","non-dropping-particle":"","parse-names":false,"suffix":""},{"dropping-particle":"","family":"Liu","given":"Qunying","non-dropping-particle":"","parse-names":false,"suffix":""}],"container-title":"Language and Education","id":"ITEM-1","issue":"2","issued":{"date-parts":[["2024"]]},"page":"303-319","publisher":"Routledge","title":"Dialogic teaching of controversial issues: discursive moves to enact two-sided discussions","type":"article-journal","volume":"38"},"uris":["http://www.mendeley.com/documents/?uuid=ba9b8447-0502-371d-876b-ff336e1e1d15"]},{"id":"ITEM-2","itemData":{"DOI":"10.1016/J.TATE.2023.104044","ISSN":"0742-051X","abstract":"Discussing controversial issues is an important means to support secondary school students' democratic citizenship. Using questionnaires, we investigated how students' (N = 284) willingness to participate in such discussions is associated with their safety perceptions (identity threat, classroom opinion climate, teacher interpersonal behavior) and personality traits (extraversion). We used the controversial Dutch tradition of Black Pete as a case. Exploratory network analysis showed that students’ willingness to participate increased when they experienced identity threat. Our findings suggest that teachers can encourage student participation in discussions about controversial issues by creating a safe classroom environment.","author":[{"dropping-particle":"","family":"Gert-Jan Wansink","given":"Bjorn","non-dropping-particle":"","parse-names":false,"suffix":""},{"dropping-particle":"","family":"Mol","given":"Hanneke","non-dropping-particle":"","parse-names":false,"suffix":""},{"dropping-particle":"","family":"Kortekaas","given":"Jaël","non-dropping-particle":"","parse-names":false,"suffix":""},{"dropping-particle":"","family":"Mainhard","given":"Tim","non-dropping-particle":"","parse-names":false,"suffix":""}],"container-title":"Teaching and Teacher Education","id":"ITEM-2","issued":{"date-parts":[["2023","4","1"]]},"page":"104044","publisher":"Pergamon","title":"Discussing controversial issues in the classroom: Exploring students' safety perceptions and their willingness to participate","type":"article-journal","volume":"125"},"uris":["http://www.mendeley.com/documents/?uuid=865b4c3e-0a6a-3ac8-b355-988a5df3a961"]}],"mendeley":{"formattedCitation":"[26], [27]","plainTextFormattedCitation":"[26], [27]","previouslyFormattedCitation":"[26], [27]"},"properties":{"noteIndex":0},"schema":"https://github.com/citation-style-language/schema/raw/master/csl-citation.json"}</w:instrText>
      </w:r>
      <w:r w:rsidR="008021F6">
        <w:fldChar w:fldCharType="separate"/>
      </w:r>
      <w:r w:rsidR="008021F6" w:rsidRPr="008021F6">
        <w:rPr>
          <w:noProof/>
        </w:rPr>
        <w:t>[26], [27]</w:t>
      </w:r>
      <w:r w:rsidR="008021F6">
        <w:fldChar w:fldCharType="end"/>
      </w:r>
      <w:r w:rsidRPr="0055647B">
        <w:t xml:space="preserve"> . Recent studies on the teaching of controversial issues also emphasize that teachers face the need to balance open discussion with managing the quality and direction of learning</w:t>
      </w:r>
      <w:r w:rsidR="008021F6">
        <w:fldChar w:fldCharType="begin" w:fldLock="1"/>
      </w:r>
      <w:r w:rsidR="005233C0">
        <w:instrText>ADDIN CSL_CITATION {"citationItems":[{"id":"ITEM-1","itemData":{"DOI":"10.1016/J.IJER.2026.103110","ISSN":"0883-0355","abstract":"Classroom discussions on controversial issues are widely regarded as an essential part of democratic citizenship education, yet there is limited knowledge about how teachers can be supported in facilitating them. This study evaluates a professional development program (PDP) aimed at supporting in-service teachers in guiding classroom discussions on controversial issues. The program involved peer-coaching sessions where teachers experimented with discussion strategies and reflected on their experiences. The study adopted a mixed-methods design, combining a quasi-experimental study (N = 54) to assess effects on teachers’ self-efficacy regarding an open and safe classroom climate, co-construction, and content quality, with stimulated recall interviews (N = 8) to explore how teachers experienced the PDP and applied it in their classroom practice. The results showed that participation in the PDP was associated with significantly greater growth in teachers’ self-efficacy for supporting an open and safe classroom climate and co-construction, compared to a control group. No significant effects were found for teacher self-efficacy with respect to promoting content quality. The qualitative findings mirrored these results and provided further insight into teachers’ perceptions of how the PDP supported their approaches to classroom discussions, while also highlighting persistent challenges, particularly in balancing neutrality with normative guidance during discussions. The findings suggest that practice-oriented professional development, combined with structured opportunities for collaborative reflection, can strengthen teachers’ confidence in guiding such discussions and support teachers in reflecting on and further developing their approaches to classroom discussions on controversial issues.","author":[{"dropping-particle":"","family":"Schuitema","given":"Jaap","non-dropping-particle":"","parse-names":false,"suffix":""},{"dropping-particle":"","family":"Kruit","given":"Patricia","non-dropping-particle":"","parse-names":false,"suffix":""},{"dropping-particle":"","family":"Knezic","given":"Dubravka","non-dropping-particle":"","parse-names":false,"suffix":""},{"dropping-particle":"","family":"Mast","given":"Olmo","non-dropping-particle":"van der","parse-names":false,"suffix":""},{"dropping-particle":"","family":"Nieuwelink","given":"Hessel","non-dropping-particle":"","parse-names":false,"suffix":""}],"container-title":"International Journal of Educational Research","id":"ITEM-1","issued":{"date-parts":[["2027","1","1"]]},"page":"103110","publisher":"Pergamon","title":"Teachers learning to guide classroom discussions on controversial issues: a study of a professional development program","type":"article-journal","volume":"141"},"uris":["http://www.mendeley.com/documents/?uuid=ebbcd5a0-e414-3edb-b890-078f3bc0019e"]}],"mendeley":{"formattedCitation":"[31]","plainTextFormattedCitation":"[31]","previouslyFormattedCitation":"[31]"},"properties":{"noteIndex":0},"schema":"https://github.com/citation-style-language/schema/raw/master/csl-citation.json"}</w:instrText>
      </w:r>
      <w:r w:rsidR="008021F6">
        <w:fldChar w:fldCharType="separate"/>
      </w:r>
      <w:r w:rsidR="008021F6" w:rsidRPr="008021F6">
        <w:rPr>
          <w:noProof/>
        </w:rPr>
        <w:t>[31]</w:t>
      </w:r>
      <w:r w:rsidR="008021F6">
        <w:fldChar w:fldCharType="end"/>
      </w:r>
      <w:r w:rsidRPr="0055647B">
        <w:t xml:space="preserve"> . In this study, these functions are evident through teachers acting as facilitators and moderators, directing students to religious sources, posing probing questions, correcting misconceptions, and ensuring that differences of opinion remain academic in nature. Therefore, the pedagogical mechanisms identified cannot be understood merely as a simple relationship between discussion and critical thinking. This process unfolds through structured controversial issues, the exchange of perspectives, evidence-based reasoning, and teacher mediation that keeps </w:t>
      </w:r>
      <w:r w:rsidRPr="0055647B">
        <w:t>differing opinions academically productive. This mechanism constitutes the analytical contribution of the study, as it positions teacher mediation as a pedagogical condition that enables controversy to transform from a mere difference of opinion into a directed reasoning process.</w:t>
      </w:r>
    </w:p>
    <w:p w14:paraId="321A5E42" w14:textId="66B24568" w:rsidR="00E54D08" w:rsidRDefault="00E54D08" w:rsidP="00F7486A">
      <w:pPr>
        <w:spacing w:line="288" w:lineRule="auto"/>
        <w:ind w:firstLine="180"/>
      </w:pPr>
      <w:r w:rsidRPr="00E54D08">
        <w:t xml:space="preserve">The implementation of “Controversial Issues” in contemporary </w:t>
      </w:r>
      <w:proofErr w:type="spellStart"/>
      <w:r w:rsidRPr="00E54D08">
        <w:t>fiqh</w:t>
      </w:r>
      <w:proofErr w:type="spellEnd"/>
      <w:r w:rsidRPr="00E54D08">
        <w:t xml:space="preserve"> instruction forms a structured pedagogical process, beginning with the selection of real-world issues, group exploration, and the exchange of perspectives, and then directed toward argumentation based on textual evidence and the views of scholars. The teacher acts as a facilitator, moderator, and mediator when clarification is needed. These findings confirm that the defining characteristic of this pedagogy is not merely the use of discussion, but rather the organization of </w:t>
      </w:r>
      <w:proofErr w:type="spellStart"/>
      <w:r w:rsidRPr="00E54D08">
        <w:t>fiqh</w:t>
      </w:r>
      <w:proofErr w:type="spellEnd"/>
      <w:r w:rsidRPr="00E54D08">
        <w:t xml:space="preserve"> controversies as a structured space for testing arguments, bringing perspectives together, and managing differences in an academic and civilized manner.</w:t>
      </w:r>
    </w:p>
    <w:p w14:paraId="3A9F9A76" w14:textId="44357449" w:rsidR="00E54D08" w:rsidRDefault="00E54D08" w:rsidP="00E54D08">
      <w:pPr>
        <w:spacing w:before="240" w:after="240" w:line="288" w:lineRule="auto"/>
        <w:rPr>
          <w:i/>
          <w:iCs/>
          <w:sz w:val="20"/>
          <w:szCs w:val="20"/>
        </w:rPr>
      </w:pPr>
      <w:r>
        <w:rPr>
          <w:i/>
          <w:iCs/>
          <w:sz w:val="20"/>
          <w:szCs w:val="20"/>
        </w:rPr>
        <w:t>3.</w:t>
      </w:r>
      <w:r w:rsidR="00FA6D31">
        <w:rPr>
          <w:i/>
          <w:iCs/>
          <w:sz w:val="20"/>
          <w:szCs w:val="20"/>
        </w:rPr>
        <w:t>2</w:t>
      </w:r>
      <w:r>
        <w:rPr>
          <w:i/>
          <w:iCs/>
          <w:sz w:val="20"/>
          <w:szCs w:val="20"/>
        </w:rPr>
        <w:t xml:space="preserve">. </w:t>
      </w:r>
      <w:r w:rsidR="00FA6D31" w:rsidRPr="00FA6D31">
        <w:rPr>
          <w:i/>
          <w:iCs/>
          <w:sz w:val="20"/>
          <w:szCs w:val="20"/>
        </w:rPr>
        <w:t xml:space="preserve">Development of Students’ Critical Thinking Skills through Contemporary Fiqh Issues </w:t>
      </w:r>
    </w:p>
    <w:p w14:paraId="24D4FB77" w14:textId="77777777" w:rsidR="00AF1C17" w:rsidRDefault="00AF1C17" w:rsidP="00AF1C17">
      <w:pPr>
        <w:spacing w:line="288" w:lineRule="auto"/>
        <w:ind w:firstLine="180"/>
      </w:pPr>
      <w:r>
        <w:t xml:space="preserve">The research findings show that the development of students’ critical thinking skills is primarily evident in changes in how they understand and respond to differing opinions on </w:t>
      </w:r>
      <w:proofErr w:type="spellStart"/>
      <w:r>
        <w:t>fiqh</w:t>
      </w:r>
      <w:proofErr w:type="spellEnd"/>
      <w:r>
        <w:t xml:space="preserve"> issues. Students are no longer merely guided to determine which opinion is considered correct but are beginning to recognize that a </w:t>
      </w:r>
      <w:proofErr w:type="spellStart"/>
      <w:r>
        <w:t>fiqh</w:t>
      </w:r>
      <w:proofErr w:type="spellEnd"/>
      <w:r>
        <w:t xml:space="preserve"> issue can have more than one perspective, each based on different lines of reasoning. In this process, students are guided to understand the issue, identify differing perspectives, examine legal sources, consider the reasoning, and draw conclusions based on the information obtained. This pattern aligns with the observation indicators showing the development of skills in interpretation, analysis, evaluation, inference, explanation, self-regulation, argumentation, and responding to others’ opinions.</w:t>
      </w:r>
    </w:p>
    <w:p w14:paraId="70A02B3E" w14:textId="77777777" w:rsidR="00AF1C17" w:rsidRDefault="00AF1C17" w:rsidP="00AF1C17">
      <w:pPr>
        <w:spacing w:line="288" w:lineRule="auto"/>
        <w:ind w:firstLine="180"/>
      </w:pPr>
      <w:r>
        <w:t xml:space="preserve">The earliest change is evident in how students view differences of opinion. The madrasah principal explained that some students initially tended to view differences as a conflict between right and wrong. Through discussion, students were introduced to the reality that certain </w:t>
      </w:r>
      <w:proofErr w:type="spellStart"/>
      <w:r>
        <w:t>fiqh</w:t>
      </w:r>
      <w:proofErr w:type="spellEnd"/>
      <w:r>
        <w:t xml:space="preserve"> issues do indeed have differing viewpoints, and each viewpoint has reasons that need to be understood.</w:t>
      </w:r>
    </w:p>
    <w:p w14:paraId="02DE2069" w14:textId="37979DA4" w:rsidR="00AF1C17" w:rsidRPr="00AF1C17" w:rsidRDefault="00AF1C17" w:rsidP="00AF1C17">
      <w:pPr>
        <w:spacing w:line="288" w:lineRule="auto"/>
        <w:ind w:left="180"/>
        <w:rPr>
          <w:i/>
          <w:iCs/>
        </w:rPr>
      </w:pPr>
      <w:r w:rsidRPr="00AF1C17">
        <w:rPr>
          <w:i/>
          <w:iCs/>
        </w:rPr>
        <w:t xml:space="preserve">“At first, some thought that if opinions differed, one of them must be wrong. But through discussion, they began to understand that in certain </w:t>
      </w:r>
      <w:proofErr w:type="spellStart"/>
      <w:r w:rsidRPr="00AF1C17">
        <w:rPr>
          <w:i/>
          <w:iCs/>
        </w:rPr>
        <w:t>fiqh</w:t>
      </w:r>
      <w:proofErr w:type="spellEnd"/>
      <w:r w:rsidRPr="00AF1C17">
        <w:rPr>
          <w:i/>
          <w:iCs/>
        </w:rPr>
        <w:t xml:space="preserve"> issues, there are indeed differing opinions, and there are reasons behind them. They learned that not all issues must be viewed in black-and-white terms. They need to examine the evidence, the way the evidence is interpreted, and the reasoning behind the opinion. That is part of critical thinking.” </w:t>
      </w:r>
      <w:r w:rsidRPr="00AF1C17">
        <w:t>(P).</w:t>
      </w:r>
    </w:p>
    <w:p w14:paraId="4862164F" w14:textId="77777777" w:rsidR="00AF1C17" w:rsidRDefault="00AF1C17" w:rsidP="00AF1C17">
      <w:pPr>
        <w:spacing w:line="288" w:lineRule="auto"/>
        <w:ind w:firstLine="180"/>
      </w:pPr>
      <w:r>
        <w:t xml:space="preserve">These findings indicate that the development of critical thinking is not only related to students’ ability to produce </w:t>
      </w:r>
      <w:r>
        <w:lastRenderedPageBreak/>
        <w:t>answers but also to a shift in how they view an issue. Students began moving away from a dichotomous, acceptance-based mindset toward an effort to understand the reasoning underlying a particular viewpoint. This shift forms the foundation for analytical skills, as students began to consider the relationship between the textual evidence, the methods of interpreting it, and the resulting legal conclusions.</w:t>
      </w:r>
    </w:p>
    <w:p w14:paraId="48CADB2A" w14:textId="77777777" w:rsidR="00AF1C17" w:rsidRDefault="00AF1C17" w:rsidP="00AF1C17">
      <w:pPr>
        <w:spacing w:line="288" w:lineRule="auto"/>
        <w:ind w:firstLine="180"/>
      </w:pPr>
      <w:r>
        <w:t>Further development is evident in students’ willingness to question the reasoning behind an opinion. The madrasah principal noted that some students who previously tended to follow their peers’ opinions are now demonstrating more reflective responses in discussions. They are beginning to question the basis of an opinion before accepting it, although this ability has not yet developed uniformly among all students.</w:t>
      </w:r>
    </w:p>
    <w:p w14:paraId="17A8FE11" w14:textId="16C21153" w:rsidR="00AF1C17" w:rsidRPr="00AF1C17" w:rsidRDefault="00AF1C17" w:rsidP="00AF1C17">
      <w:pPr>
        <w:spacing w:line="288" w:lineRule="auto"/>
        <w:ind w:left="180"/>
      </w:pPr>
      <w:r w:rsidRPr="00AF1C17">
        <w:rPr>
          <w:i/>
          <w:iCs/>
        </w:rPr>
        <w:t xml:space="preserve">“There has been a change, particularly among some students who previously tended to simply follow their friends’ opinions. In discussions, they have begun to dare to present their reasons and do not immediately accept the information provided. They have started asking, ‘What is the basis for that?’ or ‘Why do you hold that opinion?’ When discussing issues of </w:t>
      </w:r>
      <w:proofErr w:type="spellStart"/>
      <w:r w:rsidRPr="00AF1C17">
        <w:rPr>
          <w:i/>
          <w:iCs/>
        </w:rPr>
        <w:t>fiqh</w:t>
      </w:r>
      <w:proofErr w:type="spellEnd"/>
      <w:r w:rsidRPr="00AF1C17">
        <w:rPr>
          <w:i/>
          <w:iCs/>
        </w:rPr>
        <w:t xml:space="preserve">, students are also being guided to examine the sources and legal basis, although their abilities vary and some still require teacher guidance.” </w:t>
      </w:r>
      <w:r w:rsidRPr="00AF1C17">
        <w:t>(P).</w:t>
      </w:r>
    </w:p>
    <w:p w14:paraId="1066B97E" w14:textId="77777777" w:rsidR="00AF1C17" w:rsidRDefault="00AF1C17" w:rsidP="00AF1C17">
      <w:pPr>
        <w:spacing w:line="288" w:lineRule="auto"/>
        <w:ind w:firstLine="180"/>
      </w:pPr>
      <w:r>
        <w:t>This statement indicates a shift from passively accepting information to questioning its basis. Questions about the basis and reasoning show that students are beginning to engage in an evaluative process before accepting a particular viewpoint. However, the data also show that this process is still developing and has not yet become a uniformly developed skill among all students.</w:t>
      </w:r>
    </w:p>
    <w:p w14:paraId="654E3AE2" w14:textId="77777777" w:rsidR="00AF1C17" w:rsidRDefault="00AF1C17" w:rsidP="00AF1C17">
      <w:pPr>
        <w:spacing w:line="288" w:lineRule="auto"/>
        <w:ind w:firstLine="180"/>
      </w:pPr>
      <w:r>
        <w:t>The ability to evaluate arguments is also evident in how students use legal principles and references when forming their views. S3 described how the learning process has led him not only to listen to opinions expressed in discussions but also to begin considering the strength of the legal grounds used. He also mentioned searching for legal principles or references as a new habit in his learning.</w:t>
      </w:r>
    </w:p>
    <w:p w14:paraId="7F6807FD" w14:textId="7F9549F3" w:rsidR="00AF1C17" w:rsidRPr="00AF1C17" w:rsidRDefault="00AF1C17" w:rsidP="00AF1C17">
      <w:pPr>
        <w:spacing w:line="288" w:lineRule="auto"/>
        <w:ind w:left="180"/>
        <w:rPr>
          <w:i/>
          <w:iCs/>
        </w:rPr>
      </w:pPr>
      <w:r w:rsidRPr="00AF1C17">
        <w:rPr>
          <w:i/>
          <w:iCs/>
        </w:rPr>
        <w:t xml:space="preserve">“In this learning process, I’ve become more confident in expressing my opinions because we’re not just asked to answer but also have to think about the reasons behind them. If there are differing opinions, I try to weigh which one has stronger evidence. I’ve also started getting used to looking for evidence or references before expressing my opinion. So now, I don’t easily follow others’ opinions before understanding the basis they’re using.” </w:t>
      </w:r>
      <w:r w:rsidRPr="00AF1C17">
        <w:t>(S3).</w:t>
      </w:r>
    </w:p>
    <w:p w14:paraId="1B949ABB" w14:textId="77777777" w:rsidR="00AF1C17" w:rsidRDefault="00AF1C17" w:rsidP="00AF1C17">
      <w:pPr>
        <w:spacing w:line="288" w:lineRule="auto"/>
        <w:ind w:firstLine="180"/>
      </w:pPr>
      <w:r>
        <w:t xml:space="preserve">This experience demonstrates that engagement with controversial issues is beginning to foster the habit of examining the basis of an argument before accepting or expressing an opinion. In the context of critical thinking, this behavior relates to the ability to evaluate, as students not only compare the content of opinions but also consider the sources and the strength of the evidence supporting them. Observational data also show </w:t>
      </w:r>
      <w:r>
        <w:t>that students’ decision-making during discussions is accompanied by references to legal principles or evidence.</w:t>
      </w:r>
    </w:p>
    <w:p w14:paraId="4A26B103" w14:textId="77777777" w:rsidR="00AF1C17" w:rsidRDefault="00AF1C17" w:rsidP="00AF1C17">
      <w:pPr>
        <w:spacing w:line="288" w:lineRule="auto"/>
        <w:ind w:firstLine="180"/>
      </w:pPr>
      <w:r>
        <w:t>This ability is also evident in other students who more explicitly describe the process of analyzing the opinions of religious scholars. When faced with differing viewpoints, students do not immediately choose one opinion but try to examine the reasons used by each scholar. This process demonstrates that the learning process provides students with the space to compare arguments before determining their stance.</w:t>
      </w:r>
    </w:p>
    <w:p w14:paraId="3FBCF83F" w14:textId="3EC11D3D" w:rsidR="00AF1C17" w:rsidRPr="00AF1C17" w:rsidRDefault="00AF1C17" w:rsidP="00AF1C17">
      <w:pPr>
        <w:spacing w:line="288" w:lineRule="auto"/>
        <w:ind w:left="180"/>
        <w:rPr>
          <w:i/>
          <w:iCs/>
        </w:rPr>
      </w:pPr>
      <w:r w:rsidRPr="00AF1C17">
        <w:rPr>
          <w:i/>
          <w:iCs/>
        </w:rPr>
        <w:t xml:space="preserve">“When I encounter differing opinions, I don’t immediately choose one. I try to analyze the reasoning of each scholar and see which opinion has a stronger legal basis. When presenting arguments, I’ve also gotten used to using legal principles or data as a foundation, rather than just my personal opinion. This way of learning makes me more confident because the opinions I express have references that can be explained.” </w:t>
      </w:r>
      <w:r w:rsidRPr="00AF1C17">
        <w:t>(S4).</w:t>
      </w:r>
    </w:p>
    <w:p w14:paraId="571BF218" w14:textId="77777777" w:rsidR="00AF1C17" w:rsidRDefault="00AF1C17" w:rsidP="00AF1C17">
      <w:pPr>
        <w:spacing w:line="288" w:lineRule="auto"/>
        <w:ind w:firstLine="180"/>
      </w:pPr>
      <w:r>
        <w:t>This statement highlights the interconnection between analysis, evaluation, and argumentation. Students not only recognize the existence of differences but also strive to explain why a particular opinion is chosen based on the strength of its legal basis. Observational findings reinforce this pattern, indicating that students are able to draw conclusions about issues based on evidence and arguments and to articulate their thoughts in a more structured manner.</w:t>
      </w:r>
    </w:p>
    <w:p w14:paraId="798DDE7C" w14:textId="77777777" w:rsidR="00AF1C17" w:rsidRDefault="00AF1C17" w:rsidP="00AF1C17">
      <w:pPr>
        <w:spacing w:line="288" w:lineRule="auto"/>
        <w:ind w:firstLine="180"/>
      </w:pPr>
      <w:r>
        <w:t>Further development of critical thinking is evident in students’ ability to draw conclusions following the discussion process. The madrasah principal explained that students are given the opportunity to present the results of their discussions, then select key information and compare opinions before formulating conclusions. Teachers continue to provide guidance to ensure that the conclusions drawn remain within the scope of the subject matter and the basis of the discussion.</w:t>
      </w:r>
    </w:p>
    <w:p w14:paraId="7214194E" w14:textId="46294C67" w:rsidR="00AF1C17" w:rsidRPr="00AF1C17" w:rsidRDefault="00AF1C17" w:rsidP="00AF1C17">
      <w:pPr>
        <w:spacing w:line="288" w:lineRule="auto"/>
        <w:ind w:left="180"/>
        <w:rPr>
          <w:i/>
          <w:iCs/>
        </w:rPr>
      </w:pPr>
      <w:r w:rsidRPr="00AF1C17">
        <w:rPr>
          <w:i/>
          <w:iCs/>
        </w:rPr>
        <w:t xml:space="preserve">“In discussions, it is not enough for students to simply repeat the material presented by the teacher. They must select information they deem important, compare the opinions that emerge, and then present conclusions based on the discussion. Teachers provide guidance to ensure that the conclusions drawn remain consistent with the material and do not deviate from the basis of the discussion. This process demonstrates that students are beginning to learn how to process information before reaching a conclusion.” </w:t>
      </w:r>
      <w:r w:rsidRPr="00AF1C17">
        <w:t>(P).</w:t>
      </w:r>
    </w:p>
    <w:p w14:paraId="2C39B3AC" w14:textId="77777777" w:rsidR="00AF1C17" w:rsidRDefault="00AF1C17" w:rsidP="00AF1C17">
      <w:pPr>
        <w:spacing w:line="288" w:lineRule="auto"/>
        <w:ind w:firstLine="180"/>
      </w:pPr>
      <w:r>
        <w:t>These data indicate that discussions provide students with the opportunity to engage in the process of inference—that is, processing the information they have obtained before reaching a conclusion. Conclusions are not treated as mere repetitions of the teacher’s material but as the result of a process involving selecting information, comparing perspectives, and organizing reasoning. This pattern aligns with observational findings showing that students are able to formulate conclusions based on evidence they deem reasonable.</w:t>
      </w:r>
    </w:p>
    <w:p w14:paraId="111426D2" w14:textId="77777777" w:rsidR="00AF1C17" w:rsidRDefault="00AF1C17" w:rsidP="00AF1C17">
      <w:pPr>
        <w:spacing w:line="288" w:lineRule="auto"/>
        <w:ind w:firstLine="180"/>
      </w:pPr>
      <w:r>
        <w:t xml:space="preserve">In addition to analytical aspects, the development of critical </w:t>
      </w:r>
      <w:r>
        <w:lastRenderedPageBreak/>
        <w:t>thinking is also related to students’ ability to address differences through dialogue. S3 stated that the learning process taught her to listen to and respond to classmates’ opinions and to understand that differing viewpoints do not necessarily warrant rejection. This experience is linked to the development of tolerance for differing opinions within the learning process.</w:t>
      </w:r>
    </w:p>
    <w:p w14:paraId="2ECD5F77" w14:textId="650D3C2A" w:rsidR="00AF1C17" w:rsidRPr="00AF1C17" w:rsidRDefault="00AF1C17" w:rsidP="00AF1C17">
      <w:pPr>
        <w:spacing w:line="288" w:lineRule="auto"/>
        <w:ind w:left="180"/>
        <w:rPr>
          <w:i/>
          <w:iCs/>
        </w:rPr>
      </w:pPr>
      <w:r w:rsidRPr="00AF1C17">
        <w:rPr>
          <w:i/>
          <w:iCs/>
        </w:rPr>
        <w:t xml:space="preserve">“I’ve noticed that in </w:t>
      </w:r>
      <w:proofErr w:type="spellStart"/>
      <w:r w:rsidRPr="00AF1C17">
        <w:rPr>
          <w:i/>
          <w:iCs/>
        </w:rPr>
        <w:t>fiqh</w:t>
      </w:r>
      <w:proofErr w:type="spellEnd"/>
      <w:r w:rsidRPr="00AF1C17">
        <w:rPr>
          <w:i/>
          <w:iCs/>
        </w:rPr>
        <w:t xml:space="preserve"> classes, classmates’ opinions can differ, but that doesn’t mean one must be immediately blamed. During discussions, we learn to listen to and respond to our classmates’ opinions based on the reasoning they provide. From this, I’ve come to better understand that differences of </w:t>
      </w:r>
      <w:r w:rsidRPr="00AF1C17">
        <w:rPr>
          <w:i/>
          <w:iCs/>
        </w:rPr>
        <w:t xml:space="preserve">opinion in </w:t>
      </w:r>
      <w:proofErr w:type="spellStart"/>
      <w:r w:rsidRPr="00AF1C17">
        <w:rPr>
          <w:i/>
          <w:iCs/>
        </w:rPr>
        <w:t>fiqh</w:t>
      </w:r>
      <w:proofErr w:type="spellEnd"/>
      <w:r w:rsidRPr="00AF1C17">
        <w:rPr>
          <w:i/>
          <w:iCs/>
        </w:rPr>
        <w:t xml:space="preserve"> do have a basis. Therefore, the skill I’ve felt develop the most is tolerance toward differing opinions.” </w:t>
      </w:r>
      <w:r w:rsidRPr="00AF1C17">
        <w:t>(S3).</w:t>
      </w:r>
    </w:p>
    <w:p w14:paraId="430D48A6" w14:textId="77777777" w:rsidR="00AF1C17" w:rsidRDefault="00AF1C17" w:rsidP="00AF1C17">
      <w:pPr>
        <w:spacing w:line="288" w:lineRule="auto"/>
        <w:ind w:firstLine="180"/>
      </w:pPr>
      <w:r>
        <w:t xml:space="preserve">These findings indicate that critical thinking in </w:t>
      </w:r>
      <w:proofErr w:type="spellStart"/>
      <w:r>
        <w:t>fiqh</w:t>
      </w:r>
      <w:proofErr w:type="spellEnd"/>
      <w:r>
        <w:t xml:space="preserve"> learning is not merely a cognitive skill. The ability to evaluate opinions goes hand in hand with the ability to listen, respond, and respect others’ arguments. Observations also show that students do not interrupt their peers and use polite language when refuting arguments, while their tolerance for differences is assessed as having developed very well.</w:t>
      </w:r>
    </w:p>
    <w:p w14:paraId="3FE9C349" w14:textId="77777777" w:rsidR="00AF1C17" w:rsidRDefault="00AF1C17" w:rsidP="00AF1C17">
      <w:pPr>
        <w:spacing w:line="288" w:lineRule="auto"/>
        <w:ind w:firstLine="180"/>
        <w:sectPr w:rsidR="00AF1C17" w:rsidSect="004E6530">
          <w:type w:val="continuous"/>
          <w:pgSz w:w="11906" w:h="16838"/>
          <w:pgMar w:top="2036" w:right="1134" w:bottom="1134" w:left="1134" w:header="1134" w:footer="567" w:gutter="0"/>
          <w:cols w:num="2" w:space="720" w:equalWidth="0">
            <w:col w:w="4593" w:space="451"/>
            <w:col w:w="4593" w:space="0"/>
          </w:cols>
        </w:sectPr>
      </w:pPr>
    </w:p>
    <w:p w14:paraId="0C30BA6A" w14:textId="77777777" w:rsidR="00110FEC" w:rsidRDefault="00110FEC" w:rsidP="00110FEC">
      <w:pPr>
        <w:keepNext/>
        <w:tabs>
          <w:tab w:val="left" w:pos="4536"/>
        </w:tabs>
        <w:spacing w:before="240" w:after="120" w:line="288" w:lineRule="auto"/>
        <w:jc w:val="center"/>
      </w:pPr>
      <w:r>
        <w:rPr>
          <w:noProof/>
        </w:rPr>
        <w:drawing>
          <wp:inline distT="0" distB="0" distL="0" distR="0" wp14:anchorId="021ED90E" wp14:editId="70566DEB">
            <wp:extent cx="4178105" cy="2504049"/>
            <wp:effectExtent l="0" t="0" r="0" b="0"/>
            <wp:docPr id="1665139977" name="image7.png"/>
            <wp:cNvGraphicFramePr/>
            <a:graphic xmlns:a="http://schemas.openxmlformats.org/drawingml/2006/main">
              <a:graphicData uri="http://schemas.openxmlformats.org/drawingml/2006/picture">
                <pic:pic xmlns:pic="http://schemas.openxmlformats.org/drawingml/2006/picture">
                  <pic:nvPicPr>
                    <pic:cNvPr id="1665139977" name="image7.png"/>
                    <pic:cNvPicPr preferRelativeResize="0"/>
                  </pic:nvPicPr>
                  <pic:blipFill rotWithShape="1">
                    <a:blip r:embed="rId16" cstate="print">
                      <a:extLst>
                        <a:ext uri="{28A0092B-C50C-407E-A947-70E740481C1C}">
                          <a14:useLocalDpi xmlns:a14="http://schemas.microsoft.com/office/drawing/2010/main" val="0"/>
                        </a:ext>
                      </a:extLst>
                    </a:blip>
                    <a:srcRect t="910" b="749"/>
                    <a:stretch>
                      <a:fillRect/>
                    </a:stretch>
                  </pic:blipFill>
                  <pic:spPr bwMode="auto">
                    <a:xfrm>
                      <a:off x="0" y="0"/>
                      <a:ext cx="4263346" cy="2555136"/>
                    </a:xfrm>
                    <a:prstGeom prst="rect">
                      <a:avLst/>
                    </a:prstGeom>
                    <a:ln>
                      <a:noFill/>
                    </a:ln>
                    <a:extLst>
                      <a:ext uri="{53640926-AAD7-44D8-BBD7-CCE9431645EC}">
                        <a14:shadowObscured xmlns:a14="http://schemas.microsoft.com/office/drawing/2010/main"/>
                      </a:ext>
                    </a:extLst>
                  </pic:spPr>
                </pic:pic>
              </a:graphicData>
            </a:graphic>
          </wp:inline>
        </w:drawing>
      </w:r>
    </w:p>
    <w:p w14:paraId="446C1999" w14:textId="77777777" w:rsidR="00110FEC" w:rsidRDefault="00110FEC" w:rsidP="00110FEC">
      <w:pPr>
        <w:pBdr>
          <w:top w:val="nil"/>
          <w:left w:val="nil"/>
          <w:bottom w:val="nil"/>
          <w:right w:val="nil"/>
          <w:between w:val="nil"/>
        </w:pBdr>
        <w:spacing w:before="120" w:after="240" w:line="288" w:lineRule="auto"/>
        <w:jc w:val="center"/>
        <w:rPr>
          <w:color w:val="000000"/>
          <w:sz w:val="16"/>
          <w:szCs w:val="16"/>
        </w:rPr>
      </w:pPr>
      <w:r>
        <w:rPr>
          <w:b/>
          <w:bCs/>
          <w:color w:val="000000"/>
          <w:sz w:val="16"/>
          <w:szCs w:val="16"/>
        </w:rPr>
        <w:t xml:space="preserve">Figure </w:t>
      </w:r>
      <w:proofErr w:type="gramStart"/>
      <w:r>
        <w:rPr>
          <w:b/>
          <w:bCs/>
          <w:color w:val="000000"/>
          <w:sz w:val="16"/>
          <w:szCs w:val="16"/>
        </w:rPr>
        <w:t xml:space="preserve">1 </w:t>
      </w:r>
      <w:r>
        <w:rPr>
          <w:color w:val="000000"/>
          <w:sz w:val="16"/>
          <w:szCs w:val="16"/>
        </w:rPr>
        <w:t xml:space="preserve"> Relational</w:t>
      </w:r>
      <w:proofErr w:type="gramEnd"/>
      <w:r>
        <w:rPr>
          <w:color w:val="000000"/>
          <w:sz w:val="16"/>
          <w:szCs w:val="16"/>
        </w:rPr>
        <w:t xml:space="preserve">-reflective supervisory learning model at MA </w:t>
      </w:r>
      <w:proofErr w:type="spellStart"/>
      <w:r>
        <w:rPr>
          <w:color w:val="000000"/>
          <w:sz w:val="16"/>
          <w:szCs w:val="16"/>
        </w:rPr>
        <w:t>Khozinatul</w:t>
      </w:r>
      <w:proofErr w:type="spellEnd"/>
      <w:r>
        <w:rPr>
          <w:color w:val="000000"/>
          <w:sz w:val="16"/>
          <w:szCs w:val="16"/>
        </w:rPr>
        <w:t xml:space="preserve"> </w:t>
      </w:r>
      <w:proofErr w:type="spellStart"/>
      <w:r>
        <w:rPr>
          <w:color w:val="000000"/>
          <w:sz w:val="16"/>
          <w:szCs w:val="16"/>
        </w:rPr>
        <w:t>Ulum</w:t>
      </w:r>
      <w:proofErr w:type="spellEnd"/>
      <w:r>
        <w:rPr>
          <w:color w:val="000000"/>
          <w:sz w:val="16"/>
          <w:szCs w:val="16"/>
        </w:rPr>
        <w:t xml:space="preserve"> </w:t>
      </w:r>
      <w:proofErr w:type="spellStart"/>
      <w:r>
        <w:rPr>
          <w:color w:val="000000"/>
          <w:sz w:val="16"/>
          <w:szCs w:val="16"/>
        </w:rPr>
        <w:t>Blora</w:t>
      </w:r>
      <w:proofErr w:type="spellEnd"/>
    </w:p>
    <w:p w14:paraId="05F5A256" w14:textId="1560562C" w:rsidR="00AF1C17" w:rsidRDefault="00AF1C17" w:rsidP="00110FEC">
      <w:pPr>
        <w:spacing w:line="288" w:lineRule="auto"/>
        <w:sectPr w:rsidR="00AF1C17" w:rsidSect="00AF1C17">
          <w:type w:val="continuous"/>
          <w:pgSz w:w="11906" w:h="16838"/>
          <w:pgMar w:top="2036" w:right="1134" w:bottom="1134" w:left="1134" w:header="1134" w:footer="567" w:gutter="0"/>
          <w:cols w:space="720"/>
        </w:sectPr>
      </w:pPr>
    </w:p>
    <w:p w14:paraId="6BE8A655" w14:textId="77777777" w:rsidR="00110FEC" w:rsidRDefault="00110FEC" w:rsidP="00110FEC">
      <w:pPr>
        <w:spacing w:line="288" w:lineRule="auto"/>
        <w:ind w:firstLine="180"/>
      </w:pPr>
      <w:r>
        <w:t xml:space="preserve">Overall, the development of critical thinking skills in this study can be understood as a process that moves from understanding issues and recognizing differences, toward questioning the basis of opinions, comparing arguments, evaluating evidence, drawing conclusions, and responding to differences openly and politely. This development has not yet been entirely uniform, as some students still require teacher guidance, particularly in presenting reasons and developing arguments independently. However, the series of interview and observation data indicates that controversial </w:t>
      </w:r>
      <w:proofErr w:type="spellStart"/>
      <w:r>
        <w:t>fiqh</w:t>
      </w:r>
      <w:proofErr w:type="spellEnd"/>
      <w:r>
        <w:t xml:space="preserve"> issues provide learning experiences that enable students to practice critical thinking in real, argumentative, and dialogic situations.</w:t>
      </w:r>
    </w:p>
    <w:p w14:paraId="42DFBA2E" w14:textId="77777777" w:rsidR="00110FEC" w:rsidRDefault="00110FEC" w:rsidP="00110FEC">
      <w:pPr>
        <w:spacing w:line="288" w:lineRule="auto"/>
        <w:ind w:firstLine="180"/>
      </w:pPr>
      <w:r>
        <w:t xml:space="preserve">This visualization illustrates the framework for the development of critical thinking in contemporary </w:t>
      </w:r>
      <w:proofErr w:type="spellStart"/>
      <w:r>
        <w:t>fiqh</w:t>
      </w:r>
      <w:proofErr w:type="spellEnd"/>
      <w:r>
        <w:t xml:space="preserve"> learning, which draws on “Contemporary Fiqh Issues” as a context of real-world, controversial problems with diverse perspectives. The process begins with “Understand the Issue” as the stage for interpreting the problem, then progresses through the reciprocal relationship between “Recognize Differences” and “Question &amp; Verify.” Students not only recognize the existence of differing perspectives but also examine the sources, arguments, reasons, </w:t>
      </w:r>
      <w:r>
        <w:t>and evidence underlying each viewpoint. The results of these two processes are then directed toward “Compare &amp; Evaluate,” which involves comparing arguments and critically evaluating the strength of the evidence.</w:t>
      </w:r>
    </w:p>
    <w:p w14:paraId="401E77D9" w14:textId="7CCB9982" w:rsidR="00110FEC" w:rsidRDefault="00110FEC" w:rsidP="00511E12">
      <w:pPr>
        <w:spacing w:line="288" w:lineRule="auto"/>
        <w:ind w:firstLine="180"/>
      </w:pPr>
      <w:r>
        <w:t xml:space="preserve">The next stage highlights the reciprocal relationship between “Form Reasoned Judgment” and “Dialogue &amp; Respond.” </w:t>
      </w:r>
      <w:r w:rsidR="00511E12" w:rsidRPr="00511E12">
        <w:t>These findings reinforce the study’s conclusion that students’ ability to present arguments and respond to differences cannot be understood solely as a cognitive skill; it also requires an ethical disposition that allows differing viewpoints to be managed respectfully.</w:t>
      </w:r>
      <w:r>
        <w:t xml:space="preserve"> Students formulate judgments based on the results of their reasoning and then communicate their views through arguments that continue to respect differences. The entire process culminates in Critical Thinking Development, which in the research findings is represented through three dimensions: Evidence-Based Reasoning, Reflective Judgment, and Dialogic &amp; Ethical Response. On the other hand, Teacher Mediation serves as a guide throughout the process through guiding questions, source guidance, scaffolding, clarification, feedback, and dialogue facilitation, while Self-Regulation indicates that the thinking process does not stop at a single conclusion; new </w:t>
      </w:r>
      <w:r>
        <w:lastRenderedPageBreak/>
        <w:t>information or arguments can prompt students to reexamine sources, evaluate arguments, and revise their judgments.</w:t>
      </w:r>
    </w:p>
    <w:p w14:paraId="11A74393" w14:textId="0E5E8575" w:rsidR="005B1249" w:rsidRDefault="005B1249" w:rsidP="005B1249">
      <w:pPr>
        <w:spacing w:line="288" w:lineRule="auto"/>
        <w:ind w:firstLine="180"/>
      </w:pPr>
      <w:r>
        <w:t xml:space="preserve">The resulting conceptual model shows that the development of critical thinking in contemporary </w:t>
      </w:r>
      <w:proofErr w:type="spellStart"/>
      <w:r>
        <w:t>fiqh</w:t>
      </w:r>
      <w:proofErr w:type="spellEnd"/>
      <w:r>
        <w:t xml:space="preserve"> education is a process of reasoning that evolves through students’ engagement with issues featuring a plurality of perspectives, rather than merely as a result of discussion activities. Contemporary Fiqh Issues serves as a context that exposes students to real-world problems, differing viewpoints, and the need to construct justifiable arguments. This aligns with </w:t>
      </w:r>
      <w:proofErr w:type="spellStart"/>
      <w:r>
        <w:t>Vandecandelaere</w:t>
      </w:r>
      <w:proofErr w:type="spellEnd"/>
      <w:r>
        <w:t xml:space="preserve">, </w:t>
      </w:r>
      <w:proofErr w:type="spellStart"/>
      <w:r>
        <w:t>Savenije</w:t>
      </w:r>
      <w:proofErr w:type="spellEnd"/>
      <w:r>
        <w:t xml:space="preserve">, and Stoel (2025), who identify </w:t>
      </w:r>
      <w:proofErr w:type="spellStart"/>
      <w:r>
        <w:t>multiperspectivity</w:t>
      </w:r>
      <w:proofErr w:type="spellEnd"/>
      <w:r>
        <w:t xml:space="preserve"> as a key principle in teaching controversial issues, as students need to understand, evaluate, and synthesize different perspectives</w:t>
      </w:r>
      <w:r w:rsidR="00EF1A1C">
        <w:fldChar w:fldCharType="begin" w:fldLock="1"/>
      </w:r>
      <w:r w:rsidR="00511E12">
        <w:instrText>ADDIN CSL_CITATION {"citationItems":[{"id":"ITEM-1","itemData":{"DOI":"10.3389/FEDUC.2025.1556966/TEXT","ISSN":"2504284X","abstract":"Reasoning about controversial issues is an essential skill for navigating the complexities of modern society, making its inclusion in secondary education vital. While each discipline and its corresponding school subjects approach controversies through unique content, traditions, and epistemological foundations, significant commonalities also exist. This article builds on insights from a two-day workshop involving five disciplines that explored how controversial issues and related reasoning processes are understood across these fields. Despite disciplinary differences, multiperspectivity emerges as a unifying principle in teaching and learning about controversial issues. The discussion highlights disciplinary approaches to controversial issues and introduces a research agenda inspired by the workshop’s findings. This agenda calls for the development of shared vocabulary, a comparison of design criteria, and deeper insights into the roles of emotions, values and student experiences. By fostering interdisciplinary collaboration, the aim is to enhance teaching strategies and equip students with critical thinking and reasoning skills to address controversial issues effectively.","author":[{"dropping-particle":"","family":"Vandecandelaere","given":"Machteld","non-dropping-particle":"","parse-names":false,"suffix":""},{"dropping-particle":"","family":"Savenije","given":"Geerte","non-dropping-particle":"","parse-names":false,"suffix":""},{"dropping-particle":"","family":"Stoel","given":"Gerhard","non-dropping-particle":"","parse-names":false,"suffix":""}],"container-title":"Frontiers in Education","id":"ITEM-1","issued":{"date-parts":[["2025","8","7"]]},"page":"1556966","publisher":"Frontiers Media SA","title":"Integrating perspectives on reasoning about controversial issues: mapping research directions for secondary education","type":"article-journal","volume":"10"},"uris":["http://www.mendeley.com/documents/?uuid=9829dc8a-edf5-34a2-862a-c5f96e62da15"]}],"mendeley":{"formattedCitation":"[32]","plainTextFormattedCitation":"[32]","previouslyFormattedCitation":"[32]"},"properties":{"noteIndex":0},"schema":"https://github.com/citation-style-language/schema/raw/master/csl-citation.json"}</w:instrText>
      </w:r>
      <w:r w:rsidR="00EF1A1C">
        <w:fldChar w:fldCharType="separate"/>
      </w:r>
      <w:r w:rsidR="00511E12" w:rsidRPr="00511E12">
        <w:rPr>
          <w:noProof/>
        </w:rPr>
        <w:t>[32]</w:t>
      </w:r>
      <w:r w:rsidR="00EF1A1C">
        <w:fldChar w:fldCharType="end"/>
      </w:r>
      <w:r>
        <w:t xml:space="preserve"> . The “Understand the Issue” stage in the model thus serves as the interpretive foundation before students make judgments, while the relationship between “Recognize Differences” and “Question &amp; Verify” indicates that recognizing the diversity of opinions must be accompanied by an examination of sources, premises, reasons, and evidence. This interpretation aligns with Jarmer (2025), who demonstrates that religious education that presents diverse interpretations can develop the ability to understand plurality, evaluate claims, and form judgments through reflection</w:t>
      </w:r>
      <w:r w:rsidR="00EF1A1C">
        <w:fldChar w:fldCharType="begin" w:fldLock="1"/>
      </w:r>
      <w:r w:rsidR="00EF1A1C">
        <w:instrText>ADDIN CSL_CITATION {"citationItems":[{"id":"ITEM-1","itemData":{"DOI":"10.1080/01416200.2024.2403400","ISSN":"17407931","abstract":"The critique of religion is one of the most important parts of religious education because it is connected to critical thinking. I cannot think of tools that are more important […] [than tools whic...","author":[{"dropping-particle":"","family":"Jarmer","given":"Sebastian Tjelle","non-dropping-particle":"","parse-names":false,"suffix":""}],"container-title":"British Journal of Religious Education","id":"ITEM-1","issue":"3","issued":{"date-parts":[["2025","7","3"]]},"page":"253-267","publisher":"Routledge","title":"Critique of religion and critical thinking in religious education","type":"article-journal","volume":"47"},"uris":["http://www.mendeley.com/documents/?uuid=2aba7958-eeba-3d49-a80f-129709b26f46"]}],"mendeley":{"formattedCitation":"[30]","plainTextFormattedCitation":"[30]","previouslyFormattedCitation":"[30]"},"properties":{"noteIndex":0},"schema":"https://github.com/citation-style-language/schema/raw/master/csl-citation.json"}</w:instrText>
      </w:r>
      <w:r w:rsidR="00EF1A1C">
        <w:fldChar w:fldCharType="separate"/>
      </w:r>
      <w:r w:rsidR="00EF1A1C" w:rsidRPr="00EF1A1C">
        <w:rPr>
          <w:noProof/>
        </w:rPr>
        <w:t>[30]</w:t>
      </w:r>
      <w:r w:rsidR="00EF1A1C">
        <w:fldChar w:fldCharType="end"/>
      </w:r>
      <w:r>
        <w:t xml:space="preserve"> , as well as Abdullah et al. (2025), who emphasize the importance of structured critical reasoning in the study of </w:t>
      </w:r>
      <w:proofErr w:type="spellStart"/>
      <w:r>
        <w:t>Usul</w:t>
      </w:r>
      <w:proofErr w:type="spellEnd"/>
      <w:r>
        <w:t xml:space="preserve"> al-Fiqh</w:t>
      </w:r>
      <w:r w:rsidR="00EF1A1C">
        <w:fldChar w:fldCharType="begin" w:fldLock="1"/>
      </w:r>
      <w:r w:rsidR="00511E12">
        <w:instrText>ADDIN CSL_CITATION {"citationItems":[{"id":"ITEM-1","itemData":{"DOI":"10.37134/ALMAKRIFAH.VOL3.2.1.2025","ISSN":"3009-1268","abstract":"This study examines the integration of critical thinking into the teaching of Usul al-Fiqh from an Islamic perspective, addressing the noted lack of structured pedagogical strategies in current Islamic education curricula. It aims to highlight the significance of critical thinking as rooted in the Qur’an and classical Islamic thought, and to propose a conceptual framework for embedding critical thinking into Usul al-Fiqh instruction. Using qualitative content analysis, the study synthesizes literature from Islamic jurisprudence, cognitive theory, and pedagogy. As a result, five key elements of Islamic critical thinking were identified: tazakkur (remembrance), ta’aqqul (rational analysis), tadabbur (contemplation), tafakkur (reflection), and tafaqquh (deep understanding). These components were subsequently formulated into a structured model to enhance students' legal reasoning and intellectual engagement. The findings suggest that integrating these elements strengthens students' higher-order thinking, ethical reasoning, and spiritual awareness. Consequently, the study concludes that Islamic-based critical thinking frameworks can significantly enrich the teaching of Usul al-Fiqh. Therefore, it is recommended that this approach be adopted in Islamic Shariah education to bridge traditional scholarship with contemporary cognitive demands. For future research, it is recommended that studies empirically test this framework to assess its impact on student outcomes, particularly in enhancing legal reasoning, problem-solving, and moral decision-making. Additionally, researchers should explore its broader application across other areas of Islamic education, potentially contributing to the wider reform of Islamic education in the 21st century.","author":[{"dropping-particle":"","family":"Mohd Nawi","given":"Rohana","non-dropping-particle":"","parse-names":false,"suffix":""},{"dropping-particle":"","family":"Abdullah","given":"Murihah","non-dropping-particle":"","parse-names":false,"suffix":""},{"dropping-particle":"","family":"Mohd Zhaffar","given":"Nursafra","non-dropping-particle":"","parse-names":false,"suffix":""},{"dropping-particle":"","family":"Badaruddin","given":"Zuraidar","non-dropping-particle":"","parse-names":false,"suffix":""},{"dropping-particle":"","family":"Pengajian Islam","given":"Jabatan","non-dropping-particle":"","parse-names":false,"suffix":""},{"dropping-particle":"","family":"Sains Kemanusiaan","given":"Fakulti","non-dropping-particle":"","parse-names":false,"suffix":""},{"dropping-particle":"","family":"Kampus Rembau","given":"Sembilan","non-dropping-particle":"","parse-names":false,"suffix":""},{"dropping-particle":"","family":"Sembilan","given":"Negeri","non-dropping-particle":"","parse-names":false,"suffix":""},{"dropping-particle":"","family":"Pengajian Bahasa","given":"Akademi","non-dropping-particle":"","parse-names":false,"suffix":""},{"dropping-particle":"","family":"Teknologi MARA","given":"Universiti","non-dropping-particle":"","parse-names":false,"suffix":""},{"dropping-particle":"","family":"Alam","given":"Shah","non-dropping-particle":"","parse-names":false,"suffix":""}],"container-title":"AL-MAKRIFAH Journal of Knowledge and Learning in Islamic Tradition and Culture","id":"ITEM-1","issue":"2","issued":{"date-parts":[["2025","10","16"]]},"page":"1-15","publisher":"Universiti Pendidikan Sultan Idris","title":"Incorporating Critical Thinking in Usul al-Fiqh Subject with Islamic Perspectives","type":"article-journal","volume":"3"},"uris":["http://www.mendeley.com/documents/?uuid=ea049d1a-28d4-3ce3-b2e4-74a19fcb806e"]}],"mendeley":{"formattedCitation":"[33]","plainTextFormattedCitation":"[33]","previouslyFormattedCitation":"[33]"},"properties":{"noteIndex":0},"schema":"https://github.com/citation-style-language/schema/raw/master/csl-citation.json"}</w:instrText>
      </w:r>
      <w:r w:rsidR="00EF1A1C">
        <w:fldChar w:fldCharType="separate"/>
      </w:r>
      <w:r w:rsidR="00511E12" w:rsidRPr="00511E12">
        <w:rPr>
          <w:noProof/>
        </w:rPr>
        <w:t>[33]</w:t>
      </w:r>
      <w:r w:rsidR="00EF1A1C">
        <w:fldChar w:fldCharType="end"/>
      </w:r>
      <w:r>
        <w:t xml:space="preserve"> .</w:t>
      </w:r>
    </w:p>
    <w:p w14:paraId="6C0D4DB9" w14:textId="3B70CB45" w:rsidR="00511E12" w:rsidRDefault="005B1249" w:rsidP="005B1249">
      <w:pPr>
        <w:spacing w:line="288" w:lineRule="auto"/>
        <w:ind w:firstLine="180"/>
      </w:pPr>
      <w:r>
        <w:t xml:space="preserve">The “Compare &amp; Evaluate” stage thus represents the evaluative core of this process, as students do not stop at recognizing differences but begin to compare the strength of arguments based on available evidence, reasoning, and proof. These findings suggest that the development of critical thinking is best understood as a change in how students process and evaluate information, rather than merely an increase in their willingness to speak up. A study by Jazil et al. (2025) shows that strategies and media integration in </w:t>
      </w:r>
      <w:proofErr w:type="spellStart"/>
      <w:r>
        <w:t>fiqh</w:t>
      </w:r>
      <w:proofErr w:type="spellEnd"/>
      <w:r>
        <w:t xml:space="preserve"> instruction can provide space for critical engagement through contextual understanding and examination of issues</w:t>
      </w:r>
      <w:r w:rsidR="00EF1A1C">
        <w:fldChar w:fldCharType="begin" w:fldLock="1"/>
      </w:r>
      <w:r w:rsidR="00EF1A1C">
        <w:instrText>ADDIN CSL_CITATION {"citationItems":[{"id":"ITEM-1","itemData":{"DOI":"10.32890/MJLI2025.22.2.3","ISSN":"2180-2483","abstract":"Purpose – Fiqh learning has traditionally focused on cognitive aspects, such as recalling concepts or matching problems with answers in classical texts. Consequently, it has often neglected the cultivation of learners' critical thinking skills. This study aims to analyze students’ critical thinking practices in fiqh learning, explore the instructional strategies employed, and identify the types of technology used in fiqh learning activities. Additionally, it investigates the continuity between critical thinking, learning strategies, and technology in the context of fiqh education.\nMethodology – A mixed methods approach was adopted, using an explanatory sequential design. The study began with quantitative data collection and analysis, followed by qualitative exploration. A total of 254 students from eight universities in East Java, Indonesia, participated in the study. Quantitative data were collected through online questionnaires and analyzed using descriptive statistics, correlation analysis, and tests of difference. Qualitative data were gathered through observations and interviews and analyzed through data condensation, presentation, and conclusion drawing.\nFindings – The results indicate that students’ critical thinking practices in fiqh learning are generally neutral and somewhat inconsistent. Problem-based learning (PBL) and research-based learning (RBL) emerged as the most frequently applied strategies, with PBL noted as particularly effective in fostering critical thinking. The study highlights that these strategies are most effective when supported by various forms of instructional media. The integration of contextual learning strategies with multimedia use enhances students’ critical thinking engagement in fiqh learning.\nSignificance – This study provides practical insights for lecturers in selecting appropriate learning strategies and media to promote critical thinking in fiqh education. While RBL and PBL strategies, supported by multimedia, show strong potential to enhance critical thinking, they are not definitive solutions. Effective strategies and media should be tailored to the characteristics and needs of students. Continued development of both RBL and PBL strategies and multimedia use is essential. Ultimately, fiqh learning in higher education should employ instructional approaches that enhance deeper understanding and critical engagement with the subject matter.","author":[{"dropping-particle":"","family":"Jazil","given":"Saiful","non-dropping-particle":"","parse-names":false,"suffix":""},{"dropping-particle":"","family":"Zahro","given":"Ahmad","non-dropping-particle":"","parse-names":false,"suffix":""},{"dropping-particle":"","family":"Abul A’La","given":"Bassam","non-dropping-particle":"","parse-names":false,"suffix":""},{"dropping-particle":"","family":"Rahman","given":"Moh Rifqi","non-dropping-particle":"","parse-names":false,"suffix":""},{"dropping-particle":"","family":"Sholihuddin","given":"Muh","non-dropping-particle":"","parse-names":false,"suffix":""},{"dropping-particle":"","family":"Ni’Am","given":"Syamsun","non-dropping-particle":"","parse-names":false,"suffix":""},{"dropping-particle":"","family":"Nurhayati","given":"Anin","non-dropping-particle":"","parse-names":false,"suffix":""}],"container-title":"Malaysian Journal of Learning and Instruction","id":"ITEM-1","issue":"2","issued":{"date-parts":[["2025","7","30"]]},"page":"51-81","publisher":"Universiti Utara Malaysia Press","title":"Enhancing Critical Thinking in Fiqh Learning: The Role of Strategies and Media Integration in Islamic Higher Education","type":"article-journal","volume":"22"},"uris":["http://www.mendeley.com/documents/?uuid=2a75df7c-01ad-3db0-b335-96fdf60ea8c1"]}],"mendeley":{"formattedCitation":"[29]","plainTextFormattedCitation":"[29]","previouslyFormattedCitation":"[29]"},"properties":{"noteIndex":0},"schema":"https://github.com/citation-style-language/schema/raw/master/csl-citation.json"}</w:instrText>
      </w:r>
      <w:r w:rsidR="00EF1A1C">
        <w:fldChar w:fldCharType="separate"/>
      </w:r>
      <w:r w:rsidR="00EF1A1C" w:rsidRPr="00EF1A1C">
        <w:rPr>
          <w:noProof/>
        </w:rPr>
        <w:t>[29]</w:t>
      </w:r>
      <w:r w:rsidR="00EF1A1C">
        <w:fldChar w:fldCharType="end"/>
      </w:r>
      <w:r>
        <w:t xml:space="preserve"> , while </w:t>
      </w:r>
      <w:proofErr w:type="spellStart"/>
      <w:r>
        <w:t>Jegstad</w:t>
      </w:r>
      <w:proofErr w:type="spellEnd"/>
      <w:r>
        <w:t xml:space="preserve"> et al. (2025) emphasize that the development of critical thinking in the classroom occurs through dialogic practices, questioning, argumentation, and discussions of issues that do not have a single answer</w:t>
      </w:r>
      <w:r w:rsidR="00EF1A1C">
        <w:fldChar w:fldCharType="begin" w:fldLock="1"/>
      </w:r>
      <w:r w:rsidR="00511E12">
        <w:instrText>ADDIN CSL_CITATION {"citationItems":[{"id":"ITEM-1","itemData":{"DOI":"10.1016/J.EDUREV.2025.100711","ISSN":"1747-938X","abstract":"In this article, we investigate what characterises the international research literature on critical thinking in social studies, science education and language education in primary schools. Through a systematic review of 105 articles published in English between 2010 and 2021, we answer two research questions: 1) What characterises the research literature on critical thinking in primary schools regarding publication rate, geographical origin, method, grade level and school subject? 2) What characterises the studies focusing on classroom practices to develop critical thinking? The latter question includes three sub-questions, focusing on research methods, theoretical grounding and types of classroom approaches. The results from the review show an increased research interest in critical thinking in primary schools since 2017, especially in language education and science education. The publications were unevenly geographically distributed. The bulk of them were conducted in grades 4–6, with grades 1–2 representing the lowest number. A variety of theoretical approaches were represented, but several studies lacked a firm theoretical grounding in critical thinking theory. Through an inductive analysis, classroom approaches were categorised as textual, dialogic, digital or practical. Through the review, we show that the careful selection of subject content that can activate students in critical dialogue can be a fruitful approach to developing young learners’ critical thinking skills to foster well-rounded thinkers with a critical spirit. Further research is needed from a broader range of geographical contexts to probe the connections between different theoretical perceptions of critical thinking and their related concepts and to add knowledge about the development of critical thinking in grades 1–2.","author":[{"dropping-particle":"","family":"Jegstad","given":"Kirsti Marie","non-dropping-particle":"","parse-names":false,"suffix":""},{"dropping-particle":"","family":"Heggernes","given":"Sissil Lea","non-dropping-particle":"","parse-names":false,"suffix":""},{"dropping-particle":"","family":"Jøsok","given":"Evy","non-dropping-particle":"","parse-names":false,"suffix":""},{"dropping-particle":"","family":"Ryen","given":"Erik","non-dropping-particle":"","parse-names":false,"suffix":""},{"dropping-particle":"","family":"Svanes","given":"Ingvill Krogstad","non-dropping-particle":"","parse-names":false,"suffix":""},{"dropping-particle":"","family":"Tørnby","given":"Hilde","non-dropping-particle":"","parse-names":false,"suffix":""}],"container-title":"Educational Research Review","id":"ITEM-1","issued":{"date-parts":[["2025","8","1"]]},"page":"100711","publisher":"Elsevier","title":"Approaches to critical thinking in primary education classrooms: A systematic review","type":"article-journal","volume":"48"},"uris":["http://www.mendeley.com/documents/?uuid=46613895-2026-3be2-90b3-36e459371ca5"]}],"mendeley":{"formattedCitation":"[34]","plainTextFormattedCitation":"[34]","previouslyFormattedCitation":"[34]"},"properties":{"noteIndex":0},"schema":"https://github.com/citation-style-language/schema/raw/master/csl-citation.json"}</w:instrText>
      </w:r>
      <w:r w:rsidR="00EF1A1C">
        <w:fldChar w:fldCharType="separate"/>
      </w:r>
      <w:r w:rsidR="00511E12" w:rsidRPr="00511E12">
        <w:rPr>
          <w:noProof/>
        </w:rPr>
        <w:t>[34]</w:t>
      </w:r>
      <w:r w:rsidR="00EF1A1C">
        <w:fldChar w:fldCharType="end"/>
      </w:r>
      <w:r>
        <w:t xml:space="preserve"> . </w:t>
      </w:r>
    </w:p>
    <w:p w14:paraId="7512EC52" w14:textId="2052E805" w:rsidR="005B1249" w:rsidRDefault="005B1249" w:rsidP="005B1249">
      <w:pPr>
        <w:spacing w:line="288" w:lineRule="auto"/>
        <w:ind w:firstLine="180"/>
      </w:pPr>
      <w:r>
        <w:t xml:space="preserve">Furthermore, the relationship between “Form of Reasoned Judgment” and “Dialogue &amp; Response” indicates that formed judgments do not remain mere individual conclusions but are tested through explanation, argumentation, responses to other perspectives, and respect for differences. </w:t>
      </w:r>
      <w:r w:rsidR="00511E12" w:rsidRPr="00511E12">
        <w:t xml:space="preserve">This dialogical dimension in Islamic education is also inseparable from the ethical quality of the relationship between teachers and students. Learning from the perspective of Islamic education must be built through teacher–student relationships grounded in etiquette, respect, </w:t>
      </w:r>
      <w:r w:rsidR="00511E12" w:rsidRPr="00511E12">
        <w:rPr>
          <w:i/>
          <w:iCs/>
        </w:rPr>
        <w:t>humility</w:t>
      </w:r>
      <w:r w:rsidR="00511E12" w:rsidRPr="00511E12">
        <w:t>, and moral character</w:t>
      </w:r>
      <w:r w:rsidR="00511E12">
        <w:fldChar w:fldCharType="begin" w:fldLock="1"/>
      </w:r>
      <w:r w:rsidR="00511E12">
        <w:instrText>ADDIN CSL_CITATION {"citationItems":[{"id":"ITEM-1","itemData":{"DOI":"10.59818/jpi.v5i4.1885","author":[{"dropping-particle":"","family":"Fuadi","given":"Ahmad Najih Musoffa","non-dropping-particle":"","parse-names":false,"suffix":""},{"dropping-particle":"","family":"Azis","given":"Achmad Abdul","non-dropping-particle":"","parse-names":false,"suffix":""}],"container-title":"Jurnal Pendidikan Indonesia: Teori, Penelitian dan Inovasi","id":"ITEM-1","issue":"4","issued":{"date-parts":[["2025"]]},"page":"249-260","title":"Nilai-Nilai Karakter dalam Adab al-’Alim wa al-Muta’allim KH. Hasyim Asy’ari dan Implikasinya bagi Pendidikan Islam Kontemporer","type":"article-journal","volume":"5"},"uris":["http://www.mendeley.com/documents/?uuid=45fb2f38-be54-48e9-abd1-bbcec9c66c54"]}],"mendeley":{"formattedCitation":"[35]","plainTextFormattedCitation":"[35]","previouslyFormattedCitation":"[35]"},"properties":{"noteIndex":0},"schema":"https://github.com/citation-style-language/schema/raw/master/csl-citation.json"}</w:instrText>
      </w:r>
      <w:r w:rsidR="00511E12">
        <w:fldChar w:fldCharType="separate"/>
      </w:r>
      <w:r w:rsidR="00511E12" w:rsidRPr="00511E12">
        <w:rPr>
          <w:noProof/>
        </w:rPr>
        <w:t>[35]</w:t>
      </w:r>
      <w:r w:rsidR="00511E12">
        <w:fldChar w:fldCharType="end"/>
      </w:r>
      <w:r w:rsidR="00511E12" w:rsidRPr="00511E12">
        <w:t xml:space="preserve"> . </w:t>
      </w:r>
      <w:r>
        <w:t xml:space="preserve">These findings align with those of Ortega-Sánchez et al. (2025) regarding the importance of perspective and reasoning in learning about </w:t>
      </w:r>
      <w:r>
        <w:t>controversial issues</w:t>
      </w:r>
      <w:r w:rsidR="00EF1A1C">
        <w:fldChar w:fldCharType="begin" w:fldLock="1"/>
      </w:r>
      <w:r w:rsidR="00511E12">
        <w:instrText>ADDIN CSL_CITATION {"citationItems":[{"id":"ITEM-1","itemData":{"DOI":"10.3389/FEDUC.2025.1574469/TEXT","ISSN":"2504284X","abstract":"The teaching of controversial topics—understood as opposing viewpoints that generate rational disagreements—plays a crucial role in the development of critical awareness skills and the civic competencies necessary to address them effectively (Ibag&amp;#243;n-Mart&amp;#237;n &amp;amp; Miralles, 2021). Their inclusion in the secondary education curriculum aims to foster the contrast of reasoned perspectives, enabling students to critically analyze sources and narratives while engaging with opposing beliefs, values, and interests. This pedagogical approach enhances elective rationality—that is, the ability to make informed and justified decisions in complex contexts—and promotes social engagement as an integral part of the democratic process (Ortega-S&amp;#225;nchez, 2022). Therefore, it not only seeks to facilitate an understanding of social complexity but also to prepare students to anticipate, intervene in, and resolve the challenges that affect it. Addressing these topics offers numerous benefits, as supported by recent research (Meral et al., 2022). Among these, the development of critical-reflective thinking stands out, equipping students with the ability to contemplate real-world issues, assess diverse perspectives, and propose adaptable solutions. Furthermore, it fosters active citizenship by promoting participatory and responsible attitudes toward social issues and encourages students&amp;#39; willingness to engage in collective well-being. In this way, the teaching of controversial topics serves as a fundamental tool for understanding the complexity of social issues and for critically and responsibly contributing to their resolution.For this teaching to be effective, it is essential to integrate it into the educational curriculum through curricular problematization or the didactic treatment of socially relevant problems, controversial issues, or socially significant questions. This requires that selected content be of particular social relevance, be connected to contemporary societal challenges and interests, and adopt a transdisciplinary approach. From this perspective, teacher education programs should, according to Ortega-S&amp;#225;nchez (2024), provide both the pedagogical and substantive knowledge necessary to navigate diverse interpretations and multiple perspectives. This would help to overcome tensions between traditional curricula and the inherent complexity of controversy, particularly in disciplines such as social studies (Jerome &amp;amp; Elwick, 2019). In this…","author":[{"dropping-particle":"","family":"Ortega-Sánchez","given":"Delfín","non-dropping-particle":"","parse-names":false,"suffix":""},{"dropping-particle":"","family":"Sanz de la Cal","given":"Esther","non-dropping-particle":"","parse-names":false,"suffix":""},{"dropping-particle":"","family":"Ibáñez Quintana","given":"Jaime","non-dropping-particle":"","parse-names":false,"suffix":""},{"dropping-particle":"","family":"Encabo-Fernández","given":"Eduardo","non-dropping-particle":"","parse-names":false,"suffix":""}],"container-title":"Frontiers in Education","id":"ITEM-1","issued":{"date-parts":[["2025","3","21"]]},"page":"1574469","publisher":"Frontiers Media SA","title":"Editorial: Teaching controversial issues in secondary education","type":"article-journal","volume":"10"},"uris":["http://www.mendeley.com/documents/?uuid=28d1a7c0-fe3e-31e2-9422-9c205dc97049"]}],"mendeley":{"formattedCitation":"[36]","plainTextFormattedCitation":"[36]","previouslyFormattedCitation":"[36]"},"properties":{"noteIndex":0},"schema":"https://github.com/citation-style-language/schema/raw/master/csl-citation.json"}</w:instrText>
      </w:r>
      <w:r w:rsidR="00EF1A1C">
        <w:fldChar w:fldCharType="separate"/>
      </w:r>
      <w:r w:rsidR="00511E12" w:rsidRPr="00511E12">
        <w:rPr>
          <w:noProof/>
        </w:rPr>
        <w:t>[36]</w:t>
      </w:r>
      <w:r w:rsidR="00EF1A1C">
        <w:fldChar w:fldCharType="end"/>
      </w:r>
      <w:r>
        <w:t xml:space="preserve"> </w:t>
      </w:r>
      <w:r w:rsidR="00EF1A1C">
        <w:t xml:space="preserve">, </w:t>
      </w:r>
      <w:r>
        <w:t>as well as the findings of Xie and Lin (2025), which demonstrate the relevance of dialogic learning to the quality of the learning process</w:t>
      </w:r>
      <w:r w:rsidR="00EF1A1C">
        <w:fldChar w:fldCharType="begin" w:fldLock="1"/>
      </w:r>
      <w:r w:rsidR="00511E12">
        <w:instrText>ADDIN CSL_CITATION {"citationItems":[{"id":"ITEM-1","itemData":{"DOI":"10.1016/J.TATE.2024.104823","ISSN":"0742-051X","abstract":"Dialogic Teaching-and-Learning (DTL) has been widely regarded as a productive educational approach in enhancing effective teaching practices and learning quality. This meta-analysis synthesized effects from 32 (quasi-)experimental studies evaluating DTL programs implemented in pre-primary and primary schools. The results revealed that DTL programs had significant positive effects on teacher professional development, teacher-child talk, child talk and child outcomes, while the overall effect on teacher talk was negative but not statistically significant. Characteristics of the studies and programs moderated the effect sizes of the DTL programs. The findings suggest that DTL programs are beneficial for fostering teacher professional development, improving classroom dialogue and supporting child development.","author":[{"dropping-particle":"","family":"Xie","given":"Wanlin","non-dropping-particle":"","parse-names":false,"suffix":""},{"dropping-particle":"","family":"Lin","given":"Xunyi","non-dropping-particle":"","parse-names":false,"suffix":""}],"container-title":"Teaching and Teacher Education","id":"ITEM-1","issued":{"date-parts":[["2025","1","1"]]},"page":"104823","publisher":"Pergamon","title":"Are dialogic teaching-and-learning programs effective in pre-primary and primary schools? A meta-analysis","type":"article-journal","volume":"153"},"uris":["http://www.mendeley.com/documents/?uuid=5da03bda-3886-3ddf-a4fd-2bfac36dbfc4"]}],"mendeley":{"formattedCitation":"[37]","plainTextFormattedCitation":"[37]","previouslyFormattedCitation":"[37]"},"properties":{"noteIndex":0},"schema":"https://github.com/citation-style-language/schema/raw/master/csl-citation.json"}</w:instrText>
      </w:r>
      <w:r w:rsidR="00EF1A1C">
        <w:fldChar w:fldCharType="separate"/>
      </w:r>
      <w:r w:rsidR="00511E12" w:rsidRPr="00511E12">
        <w:rPr>
          <w:noProof/>
        </w:rPr>
        <w:t>[37]</w:t>
      </w:r>
      <w:r w:rsidR="00EF1A1C">
        <w:fldChar w:fldCharType="end"/>
      </w:r>
      <w:r>
        <w:t xml:space="preserve"> .</w:t>
      </w:r>
    </w:p>
    <w:p w14:paraId="37CAA1F9" w14:textId="570492BD" w:rsidR="00511E12" w:rsidRDefault="005B1249" w:rsidP="00511E12">
      <w:pPr>
        <w:spacing w:line="288" w:lineRule="auto"/>
        <w:ind w:firstLine="180"/>
      </w:pPr>
      <w:r>
        <w:t xml:space="preserve">The Teacher Mediation and Self-Regulation layers demonstrate that these processes do not occur automatically simply because students are confronted with controversial issues. </w:t>
      </w:r>
      <w:r w:rsidR="00511E12" w:rsidRPr="00511E12">
        <w:t>Changes in learning within Islamic education require a shift in interactions that positions the teacher as a facilitator and students as active participants in the learning process</w:t>
      </w:r>
      <w:r w:rsidR="00511E12">
        <w:fldChar w:fldCharType="begin" w:fldLock="1"/>
      </w:r>
      <w:r w:rsidR="0069438A">
        <w:instrText>ADDIN CSL_CITATION {"citationItems":[{"id":"ITEM-1","itemData":{"DOI":"10.51468/jpi.v7i2.1142","ISSN":"2656-7555","abstract":"Technological developments encourage Islamic educational institutions to adopt digital learning models that remain grounded in Islamic values. This study examines the strategic digital transformation in the management of Aqidah Akhlak learning at Madrasah Aliyah Sunniyyah Selo. The research problem arises from the gap between the growing discourse of digital learning and its limited managerial implementation in Islamic educational institutions. Guided by organizational change theory and Islamic educational management principles, the study seeks to answer how digital transformation can be strategically formulated, implemented, and evaluated within the context of Aqidah Akhlak learning. Using a qualitative field research approach, data were collected through interviews, observations, and document analysis involving teachers, principals, and digital teams. The validity of the findings was tested through source triangulation. The findings reveal that the transformation process follows three key stages formulation, implementation, and evaluation supported by stakeholder collaboration and continuous improvement cycles. This digital transformation also shifted classroom interaction, positioning teachers as facilitators and students as active participants. The study reveals that effective digital transformation requires managerial alignment between leadership vision, teacher competence, and technological infrastructure. Theoretically, the study contributes to the literature on Islamic value-based digital learning by integrating managerial and pedagogical dimensions. Practically, it provides actionable insights for teachers, principals, and policymakers at the Ministry of Religious Affairs (Kemenag) on how to manage digital transformation effectively while preserving Islamic values. This research underscores that successful digitalization in Islamic education requires not only technological readiness but also moral, spiritual, and strategic alignment across institutional levels.Perkembangan teknologi mendorong lembaga pendidikan Islam untuk mengadopsi model pembelajaran digital yang tetap berakar pada nilai-nilai Islam. Studi ini bertujuan untuk menganalisis transformasi digital pembelajaran Aqidah Akhlak di MA Sunniyyah Selo, Grobogan. Penelitian ini berfokus pada desain pedagogis, implementasi strategi, perubahan pola interaksi, dan keuntungan yang diperoleh dari digitalisasi. Pendekatan kualitatif digunakan dengan metode studi lapangan, dengan data dikumpulka…","author":[{"dropping-particle":"","family":"Fuadi","given":"Ahmad Najih Musoffa","non-dropping-particle":"","parse-names":false,"suffix":""},{"dropping-particle":"","family":"Jaya","given":"Arim Irsyadulloh Albin","non-dropping-particle":"","parse-names":false,"suffix":""},{"dropping-particle":"","family":"Fitriana","given":"Dyah Ayu","non-dropping-particle":"","parse-names":false,"suffix":""},{"dropping-particle":"bin","family":"Salem","given":"Ibrahim","non-dropping-particle":"","parse-names":false,"suffix":""}],"container-title":"At Turots: Jurnal Pendidikan Islam","id":"ITEM-1","issue":"2","issued":{"date-parts":[["2025"]]},"page":"855-869","title":"Strategic management of digital transformation in aqidah akhlak learning at islamic senior high schools","type":"article-journal","volume":"7"},"uris":["http://www.mendeley.com/documents/?uuid=d8ec8e48-fdee-45bb-9354-33755b46fb54"]},{"id":"ITEM-2","itemData":{"ISSN":"2747-089X","author":[{"dropping-particle":"","family":"Nugroho","given":"M Yusuf Amin","non-dropping-particle":"","parse-names":false,"suffix":""},{"dropping-particle":"","family":"Natasya","given":"Nia","non-dropping-particle":"","parse-names":false,"suffix":""},{"dropping-particle":"","family":"Fuadi","given":"Ahmad Najih Musoffa","non-dropping-particle":"","parse-names":false,"suffix":""},{"dropping-particle":"","family":"Jaya","given":"Arim Irsyadulloh Albin","non-dropping-particle":"","parse-names":false,"suffix":""},{"dropping-particle":"","family":"Fitriana","given":"Dyah Ayu","non-dropping-particle":"","parse-names":false,"suffix":""}],"container-title":"At Turots: Jurnal Pendidikan Islam","id":"ITEM-2","issued":{"date-parts":[["2025"]]},"page":"955-962","title":"The Effects of Qur’an-Based Differentiated Mathematics Instruction on Academic Achievement and Religious Character: The Role of Students’ Learning Styles at MAN 2 Wonosobo","type":"article-journal"},"uris":["http://www.mendeley.com/documents/?uuid=a127da32-fbb7-45e5-bf04-4d8fdbfbb944"]}],"mendeley":{"formattedCitation":"[38], [39]","plainTextFormattedCitation":"[38], [39]","previouslyFormattedCitation":"[38], [39]"},"properties":{"noteIndex":0},"schema":"https://github.com/citation-style-language/schema/raw/master/csl-citation.json"}</w:instrText>
      </w:r>
      <w:r w:rsidR="00511E12">
        <w:fldChar w:fldCharType="separate"/>
      </w:r>
      <w:r w:rsidR="00511E12" w:rsidRPr="00511E12">
        <w:rPr>
          <w:noProof/>
        </w:rPr>
        <w:t>[38], [39]</w:t>
      </w:r>
      <w:r w:rsidR="00511E12">
        <w:fldChar w:fldCharType="end"/>
      </w:r>
      <w:r w:rsidR="00511E12" w:rsidRPr="00511E12">
        <w:t xml:space="preserve"> . </w:t>
      </w:r>
      <w:r>
        <w:t xml:space="preserve">Teachers provide guiding questions, source guidance, scaffolding, clarification, feedback, and dialogue facilitation to ensure that differing viewpoints remain an academic process rather than a personal conflict; this condition aligns with Karousiou, </w:t>
      </w:r>
      <w:proofErr w:type="spellStart"/>
      <w:r>
        <w:t>Vrikki</w:t>
      </w:r>
      <w:proofErr w:type="spellEnd"/>
      <w:r>
        <w:t xml:space="preserve">, and </w:t>
      </w:r>
      <w:proofErr w:type="spellStart"/>
      <w:r>
        <w:t>Evagorou</w:t>
      </w:r>
      <w:proofErr w:type="spellEnd"/>
      <w:r>
        <w:t xml:space="preserve"> (2025), who highlight the importance of teachers’ preparedness and strategies in managing sensitive and controversial issues in the classroom</w:t>
      </w:r>
      <w:r w:rsidR="00EF1A1C">
        <w:fldChar w:fldCharType="begin" w:fldLock="1"/>
      </w:r>
      <w:r w:rsidR="0069438A">
        <w:instrText>ADDIN CSL_CITATION {"citationItems":[{"id":"ITEM-1","itemData":{"DOI":"10.3389/FEDUC.2025.1481173/TEXT","ISSN":"2504284X","abstract":"Teaching sensitive and controversial issues (SCIs) has gained substantial attention in today’s highly diverse societies. Even though it is regarded as a fundamental aspect of democratic education, many teachers refrain from undertaking this ambitious task as they feel inadequate to meet its challenges. This paper draws on focus group data on teachers’ perceptions toward introducing SCIs in their classrooms. The purposively selected sample consisted of 11 teachers from three different educational levels in the Republic of Cyprus. The data revealed contextual and professional factors that affect teachers’ decision to introduce the discussion of SCIs in the classroom. This research highlights the importance of including SCIs in the curriculum, providing efficient training and support, and equipping teachers with the necessary pedagogical strategies, knowledge, and skills to effectively navigate discussions around SCIs in the classroom. By promoting critical thinking, empathy, and respect through the inclusion of SCIs and supporting teachers in their implementation, schools can empower students to become informed and active participants in a democratic society.","author":[{"dropping-particle":"","family":"Karousiou","given":"Christiana","non-dropping-particle":"","parse-names":false,"suffix":""},{"dropping-particle":"","family":"Vrikki","given":"Maria","non-dropping-particle":"","parse-names":false,"suffix":""},{"dropping-particle":"","family":"Evagorou","given":"Maria","non-dropping-particle":"","parse-names":false,"suffix":""}],"container-title":"Frontiers in Education","id":"ITEM-1","issued":{"date-parts":[["2025","3","21"]]},"page":"1481173","publisher":"Frontiers Media SA","title":"Teachers’ perceptions on introducing sensitive and controversial issues in the classroom","type":"article-journal","volume":"10"},"uris":["http://www.mendeley.com/documents/?uuid=cb32b25f-3582-359f-aeba-375ff5cf6bf6"]}],"mendeley":{"formattedCitation":"[40]","plainTextFormattedCitation":"[40]","previouslyFormattedCitation":"[40]"},"properties":{"noteIndex":0},"schema":"https://github.com/citation-style-language/schema/raw/master/csl-citation.json"}</w:instrText>
      </w:r>
      <w:r w:rsidR="00EF1A1C">
        <w:fldChar w:fldCharType="separate"/>
      </w:r>
      <w:r w:rsidR="00511E12" w:rsidRPr="00511E12">
        <w:rPr>
          <w:noProof/>
        </w:rPr>
        <w:t>[40]</w:t>
      </w:r>
      <w:r w:rsidR="00EF1A1C">
        <w:fldChar w:fldCharType="end"/>
      </w:r>
      <w:r>
        <w:t xml:space="preserve"> . </w:t>
      </w:r>
    </w:p>
    <w:p w14:paraId="28C8EA09" w14:textId="1277091E" w:rsidR="005B1249" w:rsidRDefault="005B1249" w:rsidP="00511E12">
      <w:pPr>
        <w:spacing w:line="288" w:lineRule="auto"/>
        <w:ind w:firstLine="180"/>
      </w:pPr>
      <w:r>
        <w:t xml:space="preserve">Self-regulation further lends a recursive nature to the model, as new information or arguments can prompt students to reexamine sources, reevaluate arguments, and revise their judgments. </w:t>
      </w:r>
      <w:r w:rsidR="00511E12" w:rsidRPr="00511E12">
        <w:t xml:space="preserve">The formation of the </w:t>
      </w:r>
      <w:r w:rsidR="00511E12" w:rsidRPr="00511E12">
        <w:rPr>
          <w:i/>
          <w:iCs/>
        </w:rPr>
        <w:t>ideal human</w:t>
      </w:r>
      <w:r w:rsidR="00511E12" w:rsidRPr="00511E12">
        <w:t xml:space="preserve"> character occurs through systematic and repeated practice in educational life</w:t>
      </w:r>
      <w:r w:rsidR="00511E12">
        <w:fldChar w:fldCharType="begin" w:fldLock="1"/>
      </w:r>
      <w:r w:rsidR="0069438A">
        <w:instrText>ADDIN CSL_CITATION {"citationItems":[{"id":"ITEM-1","itemData":{"ISSN":"2747-089X","author":[{"dropping-particle":"","family":"Ngarofah","given":"Siti","non-dropping-particle":"","parse-names":false,"suffix":""},{"dropping-particle":"","family":"Haryanto","given":"Sri","non-dropping-particle":"","parse-names":false,"suffix":""},{"dropping-particle":"","family":"Haryanto","given":"Nurul Mubin","non-dropping-particle":"","parse-names":false,"suffix":""},{"dropping-particle":"","family":"Nugroho","given":"Muhamad Yusuf Amin","non-dropping-particle":"","parse-names":false,"suffix":""},{"dropping-particle":"","family":"Natasya","given":"Nia","non-dropping-particle":"","parse-names":false,"suffix":""},{"dropping-particle":"","family":"Fuadi","given":"Ahmad Najih Musoffa","non-dropping-particle":"","parse-names":false,"suffix":""},{"dropping-particle":"","family":"Jaya","given":"Arim Irsyadulloh Albin","non-dropping-particle":"","parse-names":false,"suffix":""},{"dropping-particle":"","family":"Fitriana","given":"Dyah Ayu","non-dropping-particle":"","parse-names":false,"suffix":""}],"container-title":"At Turots: Jurnal Pendidikan Islam","id":"ITEM-1","issued":{"date-parts":[["2024"]]},"page":"1122-1131","title":"The Process of Forming the Character of The Insan Kamil Through the Seven Habits of Great Indonesian Children Program at SDIT Permata Hati Banjarnegara","type":"article-journal"},"uris":["http://www.mendeley.com/documents/?uuid=4ffc0018-b51a-4160-b82f-7b35da1e9d71"]}],"mendeley":{"formattedCitation":"[41]","plainTextFormattedCitation":"[41]","previouslyFormattedCitation":"[41]"},"properties":{"noteIndex":0},"schema":"https://github.com/citation-style-language/schema/raw/master/csl-citation.json"}</w:instrText>
      </w:r>
      <w:r w:rsidR="00511E12">
        <w:fldChar w:fldCharType="separate"/>
      </w:r>
      <w:r w:rsidR="00511E12" w:rsidRPr="00511E12">
        <w:rPr>
          <w:noProof/>
        </w:rPr>
        <w:t>[41]</w:t>
      </w:r>
      <w:r w:rsidR="00511E12">
        <w:fldChar w:fldCharType="end"/>
      </w:r>
      <w:r w:rsidR="00511E12" w:rsidRPr="00511E12">
        <w:t xml:space="preserve"> . These findings provide context that the process of self-regulation in </w:t>
      </w:r>
      <w:proofErr w:type="spellStart"/>
      <w:r w:rsidR="00511E12" w:rsidRPr="00511E12">
        <w:t>fiqh</w:t>
      </w:r>
      <w:proofErr w:type="spellEnd"/>
      <w:r w:rsidR="00511E12" w:rsidRPr="00511E12">
        <w:t xml:space="preserve"> learning is not only related to re-examining knowledge but also to the formation of habits to consider, respond to, and improve attitudes during the learning </w:t>
      </w:r>
      <w:proofErr w:type="spellStart"/>
      <w:r w:rsidR="00511E12" w:rsidRPr="00511E12">
        <w:t>process.</w:t>
      </w:r>
      <w:r>
        <w:t>Based</w:t>
      </w:r>
      <w:proofErr w:type="spellEnd"/>
      <w:r>
        <w:t xml:space="preserve"> on these overall findings, this model can be understood as an empirical synthesis of the mechanisms underlying the development of critical thinking in contemporary </w:t>
      </w:r>
      <w:proofErr w:type="spellStart"/>
      <w:r>
        <w:t>fiqh</w:t>
      </w:r>
      <w:proofErr w:type="spellEnd"/>
      <w:r>
        <w:t xml:space="preserve"> learning: pluralistic issues give rise to the need to understand and examine perspectives; evaluation yields reasoned judgments; dialogue tests and communicates these judgments; while teacher mediation and self-regulation keep the process on track. Therefore, “Critical Thinking Development” in this study is not reduced to analytical ability alone but encompasses evidence-based reasoning, reflective judgment, and dialogic and ethical responses as forms of reasoning consistent with the nature of </w:t>
      </w:r>
      <w:proofErr w:type="spellStart"/>
      <w:r>
        <w:t>fiqh</w:t>
      </w:r>
      <w:proofErr w:type="spellEnd"/>
      <w:r>
        <w:t xml:space="preserve"> learning.</w:t>
      </w:r>
    </w:p>
    <w:p w14:paraId="17BD4117" w14:textId="1261C2DD" w:rsidR="00DF374E" w:rsidRDefault="00DF374E" w:rsidP="00DF374E">
      <w:pPr>
        <w:tabs>
          <w:tab w:val="left" w:pos="4536"/>
        </w:tabs>
        <w:spacing w:before="240" w:after="240" w:line="288" w:lineRule="auto"/>
        <w:jc w:val="left"/>
        <w:rPr>
          <w:b/>
          <w:bCs/>
          <w:sz w:val="22"/>
          <w:szCs w:val="22"/>
        </w:rPr>
      </w:pPr>
      <w:r>
        <w:rPr>
          <w:b/>
          <w:bCs/>
          <w:sz w:val="22"/>
          <w:szCs w:val="22"/>
        </w:rPr>
        <w:t>Conclusion</w:t>
      </w:r>
    </w:p>
    <w:p w14:paraId="4B620ACA" w14:textId="760B05AC" w:rsidR="00DF374E" w:rsidRDefault="00DF374E" w:rsidP="00DF374E">
      <w:pPr>
        <w:spacing w:line="288" w:lineRule="auto"/>
        <w:ind w:firstLine="180"/>
      </w:pPr>
      <w:r>
        <w:t xml:space="preserve">This study demonstrates that the “Controversial Issues” pedagogy in contemporary </w:t>
      </w:r>
      <w:proofErr w:type="spellStart"/>
      <w:r>
        <w:t>fiqh</w:t>
      </w:r>
      <w:proofErr w:type="spellEnd"/>
      <w:r>
        <w:t xml:space="preserve"> education is implemented through the selection of real-world and controversial issues, the exploration of legal sources, the exchange of perspectives, argumentation, and the guided management of differences. Teachers serve as facilitators, moderators, and mediators through probing questions, guidance on sources, clarification, and providing students with opportunities to participate. This process transforms </w:t>
      </w:r>
      <w:proofErr w:type="spellStart"/>
      <w:r>
        <w:t>fiqh</w:t>
      </w:r>
      <w:proofErr w:type="spellEnd"/>
      <w:r>
        <w:t xml:space="preserve"> issues into a space for understanding problems, recognizing differing viewpoints, examining legal foundations, comparing arguments, evaluating evidence and </w:t>
      </w:r>
      <w:r>
        <w:lastRenderedPageBreak/>
        <w:t>reasoning, and formulating well-reasoned judgments. The development of students’ critical thinking is evident in the shift from passively accepting opinions to a reasoning process that is more evidence-based, reflective, and open to other perspectives, although this development is not yet entirely uniform. Teacher readiness, the availability of learning resources, classroom atmosphere, and student participation serve as supporting conditions, while passive students and environmental distractions pose challenges that are addressed through group structures, probing questions, and teacher encouragement.</w:t>
      </w:r>
    </w:p>
    <w:p w14:paraId="22AA942D" w14:textId="5B8A699E" w:rsidR="00DF374E" w:rsidRDefault="00DF374E" w:rsidP="00DF374E">
      <w:pPr>
        <w:spacing w:line="288" w:lineRule="auto"/>
        <w:ind w:firstLine="180"/>
      </w:pPr>
      <w:r>
        <w:t xml:space="preserve">The main finding of this study is that critical thinking in </w:t>
      </w:r>
      <w:proofErr w:type="spellStart"/>
      <w:r>
        <w:t>fiqh</w:t>
      </w:r>
      <w:proofErr w:type="spellEnd"/>
      <w:r>
        <w:t xml:space="preserve"> education is not merely the ability to judge whether an opinion is right or wrong, but rather a process of weighing viewpoints based on evidence and reasoning, forming justifiable judgments, and responding to differences through dialogue and civility. In this context, “Controversial Issues” serve as a pedagogical framework that brings together evidence-based reasoning, reflective consideration, and ethical responsibility in the application of religious knowledge. These findings can serve as a foundation for future research to examine the application of similar approaches in madrasahs and a wider range of educational levels, as well as to use longitudinal or mixed-methods designs to explore the development of critical thinking skills in greater depth—particularly the relationship between teacher mediation, self-regulation, the quality of argumentation, and students’ ability to revise their views after receiving new information or perspectives.</w:t>
      </w:r>
    </w:p>
    <w:p w14:paraId="7B161C92" w14:textId="6E417651" w:rsidR="00DF374E" w:rsidRDefault="00420086" w:rsidP="00DF374E">
      <w:pPr>
        <w:tabs>
          <w:tab w:val="left" w:pos="4536"/>
        </w:tabs>
        <w:spacing w:before="240" w:after="240" w:line="288" w:lineRule="auto"/>
        <w:jc w:val="left"/>
        <w:rPr>
          <w:b/>
          <w:bCs/>
          <w:sz w:val="22"/>
          <w:szCs w:val="22"/>
        </w:rPr>
      </w:pPr>
      <w:r w:rsidRPr="00420086">
        <w:rPr>
          <w:b/>
          <w:bCs/>
          <w:sz w:val="22"/>
          <w:szCs w:val="22"/>
        </w:rPr>
        <w:t>Acknowledgments</w:t>
      </w:r>
    </w:p>
    <w:p w14:paraId="705FB4EB" w14:textId="5C2FC3E4" w:rsidR="00420086" w:rsidRDefault="00420086" w:rsidP="00DF374E">
      <w:pPr>
        <w:spacing w:line="288" w:lineRule="auto"/>
        <w:ind w:firstLine="180"/>
      </w:pPr>
      <w:r w:rsidRPr="00420086">
        <w:t xml:space="preserve">The author would like to express his deepest gratitude and appreciation to all parties who provided support during the conduct of this research and the preparation of this article, particularly the leadership and the entire academic community of the </w:t>
      </w:r>
      <w:proofErr w:type="spellStart"/>
      <w:r w:rsidRPr="00420086">
        <w:t>Khozinatul</w:t>
      </w:r>
      <w:proofErr w:type="spellEnd"/>
      <w:r w:rsidRPr="00420086">
        <w:t xml:space="preserve"> </w:t>
      </w:r>
      <w:proofErr w:type="spellStart"/>
      <w:r w:rsidRPr="00420086">
        <w:t>Ulum</w:t>
      </w:r>
      <w:proofErr w:type="spellEnd"/>
      <w:r w:rsidRPr="00420086">
        <w:t xml:space="preserve"> Islamic Institute in </w:t>
      </w:r>
      <w:proofErr w:type="spellStart"/>
      <w:r w:rsidRPr="00420086">
        <w:t>Blora</w:t>
      </w:r>
      <w:proofErr w:type="spellEnd"/>
      <w:r w:rsidRPr="00420086">
        <w:t xml:space="preserve"> for their academic and institutional support, as well as the leadership of </w:t>
      </w:r>
      <w:proofErr w:type="spellStart"/>
      <w:r w:rsidRPr="00420086">
        <w:t>MTsN</w:t>
      </w:r>
      <w:proofErr w:type="spellEnd"/>
      <w:r w:rsidRPr="00420086">
        <w:t xml:space="preserve"> 3 </w:t>
      </w:r>
      <w:proofErr w:type="spellStart"/>
      <w:r w:rsidRPr="00420086">
        <w:t>Rembang</w:t>
      </w:r>
      <w:proofErr w:type="spellEnd"/>
      <w:r w:rsidRPr="00420086">
        <w:t xml:space="preserve"> along with the </w:t>
      </w:r>
      <w:proofErr w:type="spellStart"/>
      <w:r w:rsidRPr="00420086">
        <w:t>fiqh</w:t>
      </w:r>
      <w:proofErr w:type="spellEnd"/>
      <w:r w:rsidRPr="00420086">
        <w:t xml:space="preserve"> teachers, other teachers, educational staff, students, and the entire madrasah community for granting permission, access, information, time, and cooperation throughout the research process. Appreciation is also extended to all other parties who provided assistance, input, and support—both directly and indirectly—from the preparation stage, through data collection and analysis, to the completion of this article. All such contributions and cooperation played a vital role in the successful completion of this research.</w:t>
      </w:r>
    </w:p>
    <w:p w14:paraId="7828E028" w14:textId="17F20C04" w:rsidR="00F06D8C" w:rsidRDefault="00ED5013">
      <w:pPr>
        <w:tabs>
          <w:tab w:val="left" w:pos="4536"/>
        </w:tabs>
        <w:spacing w:before="240" w:after="240" w:line="288" w:lineRule="auto"/>
        <w:jc w:val="left"/>
        <w:rPr>
          <w:b/>
          <w:bCs/>
          <w:sz w:val="22"/>
          <w:szCs w:val="22"/>
        </w:rPr>
      </w:pPr>
      <w:r>
        <w:rPr>
          <w:b/>
          <w:bCs/>
          <w:sz w:val="22"/>
          <w:szCs w:val="22"/>
        </w:rPr>
        <w:t>References</w:t>
      </w:r>
    </w:p>
    <w:p w14:paraId="365F6AF8" w14:textId="07F43AB2" w:rsidR="0069438A" w:rsidRPr="0069438A" w:rsidRDefault="00ED5013" w:rsidP="0069438A">
      <w:pPr>
        <w:autoSpaceDE w:val="0"/>
        <w:autoSpaceDN w:val="0"/>
        <w:adjustRightInd w:val="0"/>
        <w:ind w:left="426" w:hanging="426"/>
        <w:rPr>
          <w:noProof/>
        </w:rPr>
      </w:pPr>
      <w:r>
        <w:fldChar w:fldCharType="begin" w:fldLock="1"/>
      </w:r>
      <w:r>
        <w:instrText xml:space="preserve">ADDIN Mendeley Bibliography CSL_BIBLIOGRAPHY </w:instrText>
      </w:r>
      <w:r>
        <w:fldChar w:fldCharType="separate"/>
      </w:r>
      <w:r w:rsidR="0069438A" w:rsidRPr="0069438A">
        <w:rPr>
          <w:noProof/>
        </w:rPr>
        <w:t>[1]</w:t>
      </w:r>
      <w:r w:rsidR="0069438A" w:rsidRPr="0069438A">
        <w:rPr>
          <w:noProof/>
        </w:rPr>
        <w:tab/>
        <w:t xml:space="preserve">S. D. Brookfield, </w:t>
      </w:r>
      <w:r w:rsidR="0069438A" w:rsidRPr="0069438A">
        <w:rPr>
          <w:i/>
          <w:iCs/>
          <w:noProof/>
        </w:rPr>
        <w:t>*Teaching for Critical Thinking: Tools and Techniques to Help Students Question Their Assumptions*</w:t>
      </w:r>
      <w:r w:rsidR="0069438A" w:rsidRPr="0069438A">
        <w:rPr>
          <w:noProof/>
        </w:rPr>
        <w:t>, 1st ed. San Francisco: Jossey-Bass, 2012.</w:t>
      </w:r>
    </w:p>
    <w:p w14:paraId="05978B42" w14:textId="77777777" w:rsidR="0069438A" w:rsidRPr="0069438A" w:rsidRDefault="0069438A" w:rsidP="0069438A">
      <w:pPr>
        <w:autoSpaceDE w:val="0"/>
        <w:autoSpaceDN w:val="0"/>
        <w:adjustRightInd w:val="0"/>
        <w:ind w:left="426" w:hanging="426"/>
        <w:rPr>
          <w:noProof/>
        </w:rPr>
      </w:pPr>
      <w:r w:rsidRPr="0069438A">
        <w:rPr>
          <w:noProof/>
        </w:rPr>
        <w:t>[2]</w:t>
      </w:r>
      <w:r w:rsidRPr="0069438A">
        <w:rPr>
          <w:noProof/>
        </w:rPr>
        <w:tab/>
        <w:t xml:space="preserve">P. A. Facione, “Critical Thinking: What It Is and Why It </w:t>
      </w:r>
      <w:r w:rsidRPr="0069438A">
        <w:rPr>
          <w:noProof/>
        </w:rPr>
        <w:t>Counts,” 2020, [Online]. Available: https://insightassessment.com/iaresource/critical-thinking-what-it-is-and-why-it-counts/</w:t>
      </w:r>
    </w:p>
    <w:p w14:paraId="21C60A51" w14:textId="77777777" w:rsidR="0069438A" w:rsidRPr="0069438A" w:rsidRDefault="0069438A" w:rsidP="0069438A">
      <w:pPr>
        <w:autoSpaceDE w:val="0"/>
        <w:autoSpaceDN w:val="0"/>
        <w:adjustRightInd w:val="0"/>
        <w:ind w:left="426" w:hanging="426"/>
        <w:rPr>
          <w:noProof/>
        </w:rPr>
      </w:pPr>
      <w:r w:rsidRPr="0069438A">
        <w:rPr>
          <w:noProof/>
        </w:rPr>
        <w:t>[3]</w:t>
      </w:r>
      <w:r w:rsidRPr="0069438A">
        <w:rPr>
          <w:noProof/>
        </w:rPr>
        <w:tab/>
        <w:t xml:space="preserve">Z. Abidin, N. Wiarsih, R. Faishol, and H. Baharun, “Enhancing Students’ Critical Thinking Skills in the Implementation of the Merdeka Curriculum in Madrasah,” </w:t>
      </w:r>
      <w:r w:rsidRPr="0069438A">
        <w:rPr>
          <w:i/>
          <w:iCs/>
          <w:noProof/>
        </w:rPr>
        <w:t>Al-Mudarris J. Ilm. Pendidik. Islam</w:t>
      </w:r>
      <w:r w:rsidRPr="0069438A">
        <w:rPr>
          <w:noProof/>
        </w:rPr>
        <w:t>, vol. 7, no. 2, 2024, doi: 10.23971/mdr.v7i2.8859.</w:t>
      </w:r>
    </w:p>
    <w:p w14:paraId="458686C3" w14:textId="77777777" w:rsidR="0069438A" w:rsidRPr="0069438A" w:rsidRDefault="0069438A" w:rsidP="0069438A">
      <w:pPr>
        <w:autoSpaceDE w:val="0"/>
        <w:autoSpaceDN w:val="0"/>
        <w:adjustRightInd w:val="0"/>
        <w:ind w:left="426" w:hanging="426"/>
        <w:rPr>
          <w:noProof/>
        </w:rPr>
      </w:pPr>
      <w:r w:rsidRPr="0069438A">
        <w:rPr>
          <w:noProof/>
        </w:rPr>
        <w:t>[4]</w:t>
      </w:r>
      <w:r w:rsidRPr="0069438A">
        <w:rPr>
          <w:noProof/>
        </w:rPr>
        <w:tab/>
        <w:t xml:space="preserve">N. Septiyanti, “The Role of Islamic Education in Fostering Critical Thinking Ability: A Systematic Literature Review,” </w:t>
      </w:r>
      <w:r w:rsidRPr="0069438A">
        <w:rPr>
          <w:i/>
          <w:iCs/>
          <w:noProof/>
        </w:rPr>
        <w:t>J. Islam. Stud.</w:t>
      </w:r>
      <w:r w:rsidRPr="0069438A">
        <w:rPr>
          <w:noProof/>
        </w:rPr>
        <w:t>, vol. 6, no. 2, pp. 70–85, 2023, doi: 10.32506/jois.v6i2.940.</w:t>
      </w:r>
    </w:p>
    <w:p w14:paraId="54ECCFAA" w14:textId="77777777" w:rsidR="0069438A" w:rsidRPr="0069438A" w:rsidRDefault="0069438A" w:rsidP="0069438A">
      <w:pPr>
        <w:autoSpaceDE w:val="0"/>
        <w:autoSpaceDN w:val="0"/>
        <w:adjustRightInd w:val="0"/>
        <w:ind w:left="426" w:hanging="426"/>
        <w:rPr>
          <w:noProof/>
        </w:rPr>
      </w:pPr>
      <w:r w:rsidRPr="0069438A">
        <w:rPr>
          <w:noProof/>
        </w:rPr>
        <w:t>[5]</w:t>
      </w:r>
      <w:r w:rsidRPr="0069438A">
        <w:rPr>
          <w:noProof/>
        </w:rPr>
        <w:tab/>
        <w:t xml:space="preserve">R. Adawiah and H. Sakdiah, “A Comparative Analysis of Critical Thinking in Western and Islamic Education: Implications for Contemporary Islamic Pedagogy,” </w:t>
      </w:r>
      <w:r w:rsidRPr="0069438A">
        <w:rPr>
          <w:i/>
          <w:iCs/>
          <w:noProof/>
        </w:rPr>
        <w:t>SYAMIL J. Islam. Educ.</w:t>
      </w:r>
      <w:r w:rsidRPr="0069438A">
        <w:rPr>
          <w:noProof/>
        </w:rPr>
        <w:t>, vol. 13, no. 2, p. 0, 2025, doi: 10.21093/sy.v13i2.10570.</w:t>
      </w:r>
    </w:p>
    <w:p w14:paraId="1BE78B05" w14:textId="77777777" w:rsidR="0069438A" w:rsidRPr="0069438A" w:rsidRDefault="0069438A" w:rsidP="0069438A">
      <w:pPr>
        <w:autoSpaceDE w:val="0"/>
        <w:autoSpaceDN w:val="0"/>
        <w:adjustRightInd w:val="0"/>
        <w:ind w:left="426" w:hanging="426"/>
        <w:rPr>
          <w:noProof/>
        </w:rPr>
      </w:pPr>
      <w:r w:rsidRPr="0069438A">
        <w:rPr>
          <w:noProof/>
        </w:rPr>
        <w:t>[6]</w:t>
      </w:r>
      <w:r w:rsidRPr="0069438A">
        <w:rPr>
          <w:noProof/>
        </w:rPr>
        <w:tab/>
        <w:t xml:space="preserve">S. G. Hafidz, “Critical Thinking Ability in Islamic Education: Trends, Pedagogical Approaches, and Research Gaps—A Systematic Literature Review,” </w:t>
      </w:r>
      <w:r w:rsidRPr="0069438A">
        <w:rPr>
          <w:i/>
          <w:iCs/>
          <w:noProof/>
        </w:rPr>
        <w:t>J. Islam. Stud.</w:t>
      </w:r>
      <w:r w:rsidRPr="0069438A">
        <w:rPr>
          <w:noProof/>
        </w:rPr>
        <w:t>, vol. 6, no. 1, pp. 32–51, 2023, doi: 10.32506/jois.v6i1.938.</w:t>
      </w:r>
    </w:p>
    <w:p w14:paraId="1CCD05A0" w14:textId="77777777" w:rsidR="0069438A" w:rsidRPr="0069438A" w:rsidRDefault="0069438A" w:rsidP="0069438A">
      <w:pPr>
        <w:autoSpaceDE w:val="0"/>
        <w:autoSpaceDN w:val="0"/>
        <w:adjustRightInd w:val="0"/>
        <w:ind w:left="426" w:hanging="426"/>
        <w:rPr>
          <w:noProof/>
        </w:rPr>
      </w:pPr>
      <w:r w:rsidRPr="0069438A">
        <w:rPr>
          <w:noProof/>
        </w:rPr>
        <w:t>[7]</w:t>
      </w:r>
      <w:r w:rsidRPr="0069438A">
        <w:rPr>
          <w:noProof/>
        </w:rPr>
        <w:tab/>
        <w:t xml:space="preserve">A. P. Pradania, F. Helaub, M. D. Oktaviac, M. Mahfudzd, P. Alyae, and R. S. Putri, “Developing Critical Thinking Skills in Multi-Grade Classrooms,” </w:t>
      </w:r>
      <w:r w:rsidRPr="0069438A">
        <w:rPr>
          <w:i/>
          <w:iCs/>
          <w:noProof/>
        </w:rPr>
        <w:t>J. Educ. Res. Dev.</w:t>
      </w:r>
      <w:r w:rsidRPr="0069438A">
        <w:rPr>
          <w:noProof/>
        </w:rPr>
        <w:t>, vol. 1, no. 4, pp. 456–461, 2025, [Online]. Available: https://jurnal.globalscients.com/index.php/jerd/article/view/503/</w:t>
      </w:r>
    </w:p>
    <w:p w14:paraId="005D978E" w14:textId="77777777" w:rsidR="0069438A" w:rsidRPr="0069438A" w:rsidRDefault="0069438A" w:rsidP="0069438A">
      <w:pPr>
        <w:autoSpaceDE w:val="0"/>
        <w:autoSpaceDN w:val="0"/>
        <w:adjustRightInd w:val="0"/>
        <w:ind w:left="426" w:hanging="426"/>
        <w:rPr>
          <w:noProof/>
        </w:rPr>
      </w:pPr>
      <w:r w:rsidRPr="0069438A">
        <w:rPr>
          <w:noProof/>
        </w:rPr>
        <w:t>[8]</w:t>
      </w:r>
      <w:r w:rsidRPr="0069438A">
        <w:rPr>
          <w:noProof/>
        </w:rPr>
        <w:tab/>
        <w:t xml:space="preserve">I. Maharani and A. A. Putra, “The Relationship Between Problem-Based Learning and Students’ Critical Thinking Skills,” </w:t>
      </w:r>
      <w:r w:rsidRPr="0069438A">
        <w:rPr>
          <w:i/>
          <w:iCs/>
          <w:noProof/>
        </w:rPr>
        <w:t>J. Islamic Educ. Muta’allimin</w:t>
      </w:r>
      <w:r w:rsidRPr="0069438A">
        <w:rPr>
          <w:noProof/>
        </w:rPr>
        <w:t>, vol. 1, no. 1, 2023, doi: 10.25299/jpim.2023.vol1(1).14578.</w:t>
      </w:r>
    </w:p>
    <w:p w14:paraId="218BE08E" w14:textId="77777777" w:rsidR="0069438A" w:rsidRPr="0069438A" w:rsidRDefault="0069438A" w:rsidP="0069438A">
      <w:pPr>
        <w:autoSpaceDE w:val="0"/>
        <w:autoSpaceDN w:val="0"/>
        <w:adjustRightInd w:val="0"/>
        <w:ind w:left="426" w:hanging="426"/>
        <w:rPr>
          <w:noProof/>
        </w:rPr>
      </w:pPr>
      <w:r w:rsidRPr="0069438A">
        <w:rPr>
          <w:noProof/>
        </w:rPr>
        <w:t>[9]</w:t>
      </w:r>
      <w:r w:rsidRPr="0069438A">
        <w:rPr>
          <w:noProof/>
        </w:rPr>
        <w:tab/>
        <w:t xml:space="preserve">S. F. Rifadina, A. Arief, and A. Mukti, “Application of the Contextual Teaching and Learning Model in Developing Critical Thinking Skills in Fiqh Thaharah Lessons: A Case Study at the Annur Darunnajah 8 Islamic Boarding School in Cidokom, Bogor Regency,” </w:t>
      </w:r>
      <w:r w:rsidRPr="0069438A">
        <w:rPr>
          <w:i/>
          <w:iCs/>
          <w:noProof/>
        </w:rPr>
        <w:t>J. Islamic Educator Counseling Islam</w:t>
      </w:r>
      <w:r w:rsidRPr="0069438A">
        <w:rPr>
          <w:noProof/>
        </w:rPr>
        <w:t>, vol. 7, no. 1, 2025, doi: 10.32806/jkpi.v7i1.1296.</w:t>
      </w:r>
    </w:p>
    <w:p w14:paraId="0E326362" w14:textId="77777777" w:rsidR="0069438A" w:rsidRPr="0069438A" w:rsidRDefault="0069438A" w:rsidP="0069438A">
      <w:pPr>
        <w:autoSpaceDE w:val="0"/>
        <w:autoSpaceDN w:val="0"/>
        <w:adjustRightInd w:val="0"/>
        <w:ind w:left="426" w:hanging="426"/>
        <w:rPr>
          <w:noProof/>
        </w:rPr>
      </w:pPr>
      <w:r w:rsidRPr="0069438A">
        <w:rPr>
          <w:noProof/>
        </w:rPr>
        <w:t>[10]</w:t>
      </w:r>
      <w:r w:rsidRPr="0069438A">
        <w:rPr>
          <w:noProof/>
        </w:rPr>
        <w:tab/>
        <w:t xml:space="preserve">I. Zahrotun and R. Kamal, “Analysis of the Effectiveness of the Merdeka Curriculum in Enhancing Critical Thinking Among Students,” </w:t>
      </w:r>
      <w:r w:rsidRPr="0069438A">
        <w:rPr>
          <w:i/>
          <w:iCs/>
          <w:noProof/>
        </w:rPr>
        <w:t>J. Elementary School Educators. for Elementary Madrasah Teachers</w:t>
      </w:r>
      <w:r w:rsidRPr="0069438A">
        <w:rPr>
          <w:noProof/>
        </w:rPr>
        <w:t>, vol. 2, no. 1, pp. 9–14, 2023, doi: 10.56997/pgmi.v2i1.1278.</w:t>
      </w:r>
    </w:p>
    <w:p w14:paraId="3E1B6684" w14:textId="77777777" w:rsidR="0069438A" w:rsidRPr="0069438A" w:rsidRDefault="0069438A" w:rsidP="0069438A">
      <w:pPr>
        <w:autoSpaceDE w:val="0"/>
        <w:autoSpaceDN w:val="0"/>
        <w:adjustRightInd w:val="0"/>
        <w:ind w:left="426" w:hanging="426"/>
        <w:rPr>
          <w:noProof/>
        </w:rPr>
      </w:pPr>
      <w:r w:rsidRPr="0069438A">
        <w:rPr>
          <w:noProof/>
        </w:rPr>
        <w:t>[11]</w:t>
      </w:r>
      <w:r w:rsidRPr="0069438A">
        <w:rPr>
          <w:noProof/>
        </w:rPr>
        <w:tab/>
        <w:t xml:space="preserve">B. B. N. Fauzi, B. Qomaruzzaman, and Q. Y. Zaqiah, “Problem-Based Learning in Innovative Fiqh Instruction to Enhance Critical Thinking,” </w:t>
      </w:r>
      <w:r w:rsidRPr="0069438A">
        <w:rPr>
          <w:i/>
          <w:iCs/>
          <w:noProof/>
        </w:rPr>
        <w:t>J. Educ. FKIP UNMA</w:t>
      </w:r>
      <w:r w:rsidRPr="0069438A">
        <w:rPr>
          <w:noProof/>
        </w:rPr>
        <w:t>, vol. 9, no. 4, 2023, doi: 10.31949/educatio.v9i4.6249.</w:t>
      </w:r>
    </w:p>
    <w:p w14:paraId="3C38AD78" w14:textId="77777777" w:rsidR="0069438A" w:rsidRPr="0069438A" w:rsidRDefault="0069438A" w:rsidP="0069438A">
      <w:pPr>
        <w:autoSpaceDE w:val="0"/>
        <w:autoSpaceDN w:val="0"/>
        <w:adjustRightInd w:val="0"/>
        <w:ind w:left="426" w:hanging="426"/>
        <w:rPr>
          <w:noProof/>
        </w:rPr>
      </w:pPr>
      <w:r w:rsidRPr="0069438A">
        <w:rPr>
          <w:noProof/>
        </w:rPr>
        <w:t>[12]</w:t>
      </w:r>
      <w:r w:rsidRPr="0069438A">
        <w:rPr>
          <w:noProof/>
        </w:rPr>
        <w:tab/>
        <w:t xml:space="preserve">R. B. Purba, A. I. Sinaga, and H. Haidir, “Developing a Fiqh Student Worksheet Based on Problem-Based Learning to Improve Critical Thinking Skills,” </w:t>
      </w:r>
      <w:r w:rsidRPr="0069438A">
        <w:rPr>
          <w:i/>
          <w:iCs/>
          <w:noProof/>
        </w:rPr>
        <w:t>JIE J. Islam. Educ.</w:t>
      </w:r>
      <w:r w:rsidRPr="0069438A">
        <w:rPr>
          <w:noProof/>
        </w:rPr>
        <w:t>, vol. 9, no. 1, 2024, doi: 10.35723/jie.v9i1.395.</w:t>
      </w:r>
    </w:p>
    <w:p w14:paraId="6563B46D" w14:textId="77777777" w:rsidR="0069438A" w:rsidRPr="0069438A" w:rsidRDefault="0069438A" w:rsidP="0069438A">
      <w:pPr>
        <w:autoSpaceDE w:val="0"/>
        <w:autoSpaceDN w:val="0"/>
        <w:adjustRightInd w:val="0"/>
        <w:ind w:left="426" w:hanging="426"/>
        <w:rPr>
          <w:noProof/>
        </w:rPr>
      </w:pPr>
      <w:r w:rsidRPr="0069438A">
        <w:rPr>
          <w:noProof/>
        </w:rPr>
        <w:t>[13]</w:t>
      </w:r>
      <w:r w:rsidRPr="0069438A">
        <w:rPr>
          <w:noProof/>
        </w:rPr>
        <w:tab/>
        <w:t xml:space="preserve">M. Khadafi, A. Suradi, and M. Mindani, “Problem-Based Learning and Students’ Critical Thinking in Fiqh Learning,” </w:t>
      </w:r>
      <w:r w:rsidRPr="0069438A">
        <w:rPr>
          <w:i/>
          <w:iCs/>
          <w:noProof/>
        </w:rPr>
        <w:t>Acad. Open</w:t>
      </w:r>
      <w:r w:rsidRPr="0069438A">
        <w:rPr>
          <w:noProof/>
        </w:rPr>
        <w:t>, vol. 11, no. 1, 2026, doi: 10.21070/acopen.11.2026.11965.</w:t>
      </w:r>
    </w:p>
    <w:p w14:paraId="3D0D9FA7" w14:textId="77777777" w:rsidR="0069438A" w:rsidRPr="0069438A" w:rsidRDefault="0069438A" w:rsidP="0069438A">
      <w:pPr>
        <w:autoSpaceDE w:val="0"/>
        <w:autoSpaceDN w:val="0"/>
        <w:adjustRightInd w:val="0"/>
        <w:ind w:left="426" w:hanging="426"/>
        <w:rPr>
          <w:noProof/>
        </w:rPr>
      </w:pPr>
      <w:r w:rsidRPr="0069438A">
        <w:rPr>
          <w:noProof/>
        </w:rPr>
        <w:t>[14]</w:t>
      </w:r>
      <w:r w:rsidRPr="0069438A">
        <w:rPr>
          <w:noProof/>
        </w:rPr>
        <w:tab/>
        <w:t xml:space="preserve">N. M. P. Rahmadani and F. Fajar, “Aligning Cryptocurrencies with Islamic Law: Challenges, Ethical Concerns, and Regulatory Solutions,” </w:t>
      </w:r>
      <w:r w:rsidRPr="0069438A">
        <w:rPr>
          <w:i/>
          <w:iCs/>
          <w:noProof/>
        </w:rPr>
        <w:t>Istinbath</w:t>
      </w:r>
      <w:r w:rsidRPr="0069438A">
        <w:rPr>
          <w:noProof/>
        </w:rPr>
        <w:t>, vol. 23, no. 2, pp. 366–383, 2024, doi: 10.20414/ijhi.v23i2.887.</w:t>
      </w:r>
    </w:p>
    <w:p w14:paraId="4EB28C47" w14:textId="77777777" w:rsidR="0069438A" w:rsidRPr="0069438A" w:rsidRDefault="0069438A" w:rsidP="0069438A">
      <w:pPr>
        <w:autoSpaceDE w:val="0"/>
        <w:autoSpaceDN w:val="0"/>
        <w:adjustRightInd w:val="0"/>
        <w:ind w:left="426" w:hanging="426"/>
        <w:rPr>
          <w:noProof/>
        </w:rPr>
      </w:pPr>
      <w:r w:rsidRPr="0069438A">
        <w:rPr>
          <w:noProof/>
        </w:rPr>
        <w:t>[15]</w:t>
      </w:r>
      <w:r w:rsidRPr="0069438A">
        <w:rPr>
          <w:noProof/>
        </w:rPr>
        <w:tab/>
        <w:t xml:space="preserve">W. Wazin, S. Patimah, A. Ansori, and W. Wasehudin, </w:t>
      </w:r>
      <w:r w:rsidRPr="0069438A">
        <w:rPr>
          <w:noProof/>
        </w:rPr>
        <w:lastRenderedPageBreak/>
        <w:t xml:space="preserve">“Optimizing AI Technology in Assessing Islamic Financing Risks: A SWOT Analysis of Challenges and Opportunities from an Islamic Legal Perspective (Fiqh),” </w:t>
      </w:r>
      <w:r w:rsidRPr="0069438A">
        <w:rPr>
          <w:i/>
          <w:iCs/>
          <w:noProof/>
        </w:rPr>
        <w:t>Al-Istinbath J. Huk. Islam</w:t>
      </w:r>
      <w:r w:rsidRPr="0069438A">
        <w:rPr>
          <w:noProof/>
        </w:rPr>
        <w:t>, vol. 10, no. 1, 2025, doi: 10.29240/jhi.v10i1.11941.</w:t>
      </w:r>
    </w:p>
    <w:p w14:paraId="32BC6BFE" w14:textId="77777777" w:rsidR="0069438A" w:rsidRPr="0069438A" w:rsidRDefault="0069438A" w:rsidP="0069438A">
      <w:pPr>
        <w:autoSpaceDE w:val="0"/>
        <w:autoSpaceDN w:val="0"/>
        <w:adjustRightInd w:val="0"/>
        <w:ind w:left="426" w:hanging="426"/>
        <w:rPr>
          <w:noProof/>
        </w:rPr>
      </w:pPr>
      <w:r w:rsidRPr="0069438A">
        <w:rPr>
          <w:noProof/>
        </w:rPr>
        <w:t>[16]</w:t>
      </w:r>
      <w:r w:rsidRPr="0069438A">
        <w:rPr>
          <w:noProof/>
        </w:rPr>
        <w:tab/>
        <w:t xml:space="preserve">D. E. Hess, </w:t>
      </w:r>
      <w:r w:rsidRPr="0069438A">
        <w:rPr>
          <w:i/>
          <w:iCs/>
          <w:noProof/>
        </w:rPr>
        <w:t>*Controversy in the Classroom: The Democratic Power of Discussion</w:t>
      </w:r>
      <w:r w:rsidRPr="0069438A">
        <w:rPr>
          <w:noProof/>
        </w:rPr>
        <w:t>*. Routledge, 2009. doi: 10.4324/9780203878880.</w:t>
      </w:r>
    </w:p>
    <w:p w14:paraId="0187ADD8" w14:textId="77777777" w:rsidR="0069438A" w:rsidRPr="0069438A" w:rsidRDefault="0069438A" w:rsidP="0069438A">
      <w:pPr>
        <w:autoSpaceDE w:val="0"/>
        <w:autoSpaceDN w:val="0"/>
        <w:adjustRightInd w:val="0"/>
        <w:ind w:left="426" w:hanging="426"/>
        <w:rPr>
          <w:noProof/>
        </w:rPr>
      </w:pPr>
      <w:r w:rsidRPr="0069438A">
        <w:rPr>
          <w:noProof/>
        </w:rPr>
        <w:t>[17]</w:t>
      </w:r>
      <w:r w:rsidRPr="0069438A">
        <w:rPr>
          <w:noProof/>
        </w:rPr>
        <w:tab/>
        <w:t xml:space="preserve">R. Stradling, M. Noctor, and B. Baines, </w:t>
      </w:r>
      <w:r w:rsidRPr="0069438A">
        <w:rPr>
          <w:i/>
          <w:iCs/>
          <w:noProof/>
        </w:rPr>
        <w:t>*Teaching Controversial Issues</w:t>
      </w:r>
      <w:r w:rsidRPr="0069438A">
        <w:rPr>
          <w:noProof/>
        </w:rPr>
        <w:t>*. London: Edward Arnold, 1984.</w:t>
      </w:r>
    </w:p>
    <w:p w14:paraId="4D24DE48" w14:textId="77777777" w:rsidR="0069438A" w:rsidRPr="0069438A" w:rsidRDefault="0069438A" w:rsidP="0069438A">
      <w:pPr>
        <w:autoSpaceDE w:val="0"/>
        <w:autoSpaceDN w:val="0"/>
        <w:adjustRightInd w:val="0"/>
        <w:ind w:left="426" w:hanging="426"/>
        <w:rPr>
          <w:noProof/>
        </w:rPr>
      </w:pPr>
      <w:r w:rsidRPr="0069438A">
        <w:rPr>
          <w:noProof/>
        </w:rPr>
        <w:t>[18]</w:t>
      </w:r>
      <w:r w:rsidRPr="0069438A">
        <w:rPr>
          <w:noProof/>
        </w:rPr>
        <w:tab/>
        <w:t xml:space="preserve">I. Muslimin and M. Abidin, “Controversial Religious Issues for Improving Students’ Critical Thinking Skills in Higher Education,” </w:t>
      </w:r>
      <w:r w:rsidRPr="0069438A">
        <w:rPr>
          <w:i/>
          <w:iCs/>
          <w:noProof/>
        </w:rPr>
        <w:t>Int. J. Instr.</w:t>
      </w:r>
      <w:r w:rsidRPr="0069438A">
        <w:rPr>
          <w:noProof/>
        </w:rPr>
        <w:t>, vol. 16, no. 1, pp. 119–134, 2023, doi: 10.29333/iji.2023.1617a.</w:t>
      </w:r>
    </w:p>
    <w:p w14:paraId="1A704D72" w14:textId="77777777" w:rsidR="0069438A" w:rsidRPr="0069438A" w:rsidRDefault="0069438A" w:rsidP="0069438A">
      <w:pPr>
        <w:autoSpaceDE w:val="0"/>
        <w:autoSpaceDN w:val="0"/>
        <w:adjustRightInd w:val="0"/>
        <w:ind w:left="426" w:hanging="426"/>
        <w:rPr>
          <w:noProof/>
        </w:rPr>
      </w:pPr>
      <w:r w:rsidRPr="0069438A">
        <w:rPr>
          <w:noProof/>
        </w:rPr>
        <w:t>[19]</w:t>
      </w:r>
      <w:r w:rsidRPr="0069438A">
        <w:rPr>
          <w:noProof/>
        </w:rPr>
        <w:tab/>
        <w:t xml:space="preserve">A. Alfiandra, S. Safitri, and P. Dianti, “Implementation of the Controversial Issue Model in the Civic Education Course,” </w:t>
      </w:r>
      <w:r w:rsidRPr="0069438A">
        <w:rPr>
          <w:i/>
          <w:iCs/>
          <w:noProof/>
        </w:rPr>
        <w:t>J. Civ. Media Kaji. Civics</w:t>
      </w:r>
      <w:r w:rsidRPr="0069438A">
        <w:rPr>
          <w:noProof/>
        </w:rPr>
        <w:t>, vol. 15, no. 1, pp. 62–73, 2018, doi: 10.21831/jc.v15i1.17281.</w:t>
      </w:r>
    </w:p>
    <w:p w14:paraId="6157D2D2" w14:textId="77777777" w:rsidR="0069438A" w:rsidRPr="0069438A" w:rsidRDefault="0069438A" w:rsidP="0069438A">
      <w:pPr>
        <w:autoSpaceDE w:val="0"/>
        <w:autoSpaceDN w:val="0"/>
        <w:adjustRightInd w:val="0"/>
        <w:ind w:left="426" w:hanging="426"/>
        <w:rPr>
          <w:noProof/>
        </w:rPr>
      </w:pPr>
      <w:r w:rsidRPr="0069438A">
        <w:rPr>
          <w:noProof/>
        </w:rPr>
        <w:t>[20]</w:t>
      </w:r>
      <w:r w:rsidRPr="0069438A">
        <w:rPr>
          <w:noProof/>
        </w:rPr>
        <w:tab/>
        <w:t xml:space="preserve">S. Suryanto, A. Widodo, and N. Nursalim, “Development of a Learning Model Based on Controversial Issues to Strengthen Students’ Civic Character,” </w:t>
      </w:r>
      <w:r w:rsidRPr="0069438A">
        <w:rPr>
          <w:i/>
          <w:iCs/>
          <w:noProof/>
        </w:rPr>
        <w:t>J. Cakrawala Pendidik.</w:t>
      </w:r>
      <w:r w:rsidRPr="0069438A">
        <w:rPr>
          <w:noProof/>
        </w:rPr>
        <w:t>, vol. 37, no. 2, 2018, doi: 10.21831/cp.v37i2.15962.</w:t>
      </w:r>
    </w:p>
    <w:p w14:paraId="013FBC47" w14:textId="77777777" w:rsidR="0069438A" w:rsidRPr="0069438A" w:rsidRDefault="0069438A" w:rsidP="0069438A">
      <w:pPr>
        <w:autoSpaceDE w:val="0"/>
        <w:autoSpaceDN w:val="0"/>
        <w:adjustRightInd w:val="0"/>
        <w:ind w:left="426" w:hanging="426"/>
        <w:rPr>
          <w:noProof/>
        </w:rPr>
      </w:pPr>
      <w:r w:rsidRPr="0069438A">
        <w:rPr>
          <w:noProof/>
        </w:rPr>
        <w:t>[21]</w:t>
      </w:r>
      <w:r w:rsidRPr="0069438A">
        <w:rPr>
          <w:noProof/>
        </w:rPr>
        <w:tab/>
        <w:t xml:space="preserve">J. W. Creswell and J. D. Creswell, </w:t>
      </w:r>
      <w:r w:rsidRPr="0069438A">
        <w:rPr>
          <w:i/>
          <w:iCs/>
          <w:noProof/>
        </w:rPr>
        <w:t>*Research Design: Qualitative, Quantitative, and Mixed Methods Approaches*</w:t>
      </w:r>
      <w:r w:rsidRPr="0069438A">
        <w:rPr>
          <w:noProof/>
        </w:rPr>
        <w:t>, 5th ed. Paris: SAGE Publications, 2018. Accessed: Aug. 5, 2026. [Online]. Available: https://www.sagepub.com/shop/buy-a-book/research-design-5-255675</w:t>
      </w:r>
    </w:p>
    <w:p w14:paraId="0526982F" w14:textId="77777777" w:rsidR="0069438A" w:rsidRPr="0069438A" w:rsidRDefault="0069438A" w:rsidP="0069438A">
      <w:pPr>
        <w:autoSpaceDE w:val="0"/>
        <w:autoSpaceDN w:val="0"/>
        <w:adjustRightInd w:val="0"/>
        <w:ind w:left="426" w:hanging="426"/>
        <w:rPr>
          <w:noProof/>
        </w:rPr>
      </w:pPr>
      <w:r w:rsidRPr="0069438A">
        <w:rPr>
          <w:noProof/>
        </w:rPr>
        <w:t>[22]</w:t>
      </w:r>
      <w:r w:rsidRPr="0069438A">
        <w:rPr>
          <w:noProof/>
        </w:rPr>
        <w:tab/>
        <w:t xml:space="preserve">J. W. Creswell and C. N. Poth, </w:t>
      </w:r>
      <w:r w:rsidRPr="0069438A">
        <w:rPr>
          <w:i/>
          <w:iCs/>
          <w:noProof/>
        </w:rPr>
        <w:t>*Qualitative Inquiry and Research Design: Choosing Among Five Approaches*</w:t>
      </w:r>
      <w:r w:rsidRPr="0069438A">
        <w:rPr>
          <w:noProof/>
        </w:rPr>
        <w:t>, 4th ed. SAGE Publications, 2016.</w:t>
      </w:r>
    </w:p>
    <w:p w14:paraId="34A8F2E1" w14:textId="77777777" w:rsidR="0069438A" w:rsidRPr="0069438A" w:rsidRDefault="0069438A" w:rsidP="0069438A">
      <w:pPr>
        <w:autoSpaceDE w:val="0"/>
        <w:autoSpaceDN w:val="0"/>
        <w:adjustRightInd w:val="0"/>
        <w:ind w:left="426" w:hanging="426"/>
        <w:rPr>
          <w:noProof/>
        </w:rPr>
      </w:pPr>
      <w:r w:rsidRPr="0069438A">
        <w:rPr>
          <w:noProof/>
        </w:rPr>
        <w:t>[23]</w:t>
      </w:r>
      <w:r w:rsidRPr="0069438A">
        <w:rPr>
          <w:noProof/>
        </w:rPr>
        <w:tab/>
        <w:t xml:space="preserve">M. Q. Patton, </w:t>
      </w:r>
      <w:r w:rsidRPr="0069438A">
        <w:rPr>
          <w:i/>
          <w:iCs/>
          <w:noProof/>
        </w:rPr>
        <w:t>*Qualitative Research &amp; Evaluation Methods: Integrating Theory and Practice*</w:t>
      </w:r>
      <w:r w:rsidRPr="0069438A">
        <w:rPr>
          <w:noProof/>
        </w:rPr>
        <w:t>, 4th ed. SAGE Publications, 2014.</w:t>
      </w:r>
    </w:p>
    <w:p w14:paraId="507A82BA" w14:textId="77777777" w:rsidR="0069438A" w:rsidRPr="0069438A" w:rsidRDefault="0069438A" w:rsidP="0069438A">
      <w:pPr>
        <w:autoSpaceDE w:val="0"/>
        <w:autoSpaceDN w:val="0"/>
        <w:adjustRightInd w:val="0"/>
        <w:ind w:left="426" w:hanging="426"/>
        <w:rPr>
          <w:noProof/>
        </w:rPr>
      </w:pPr>
      <w:r w:rsidRPr="0069438A">
        <w:rPr>
          <w:noProof/>
        </w:rPr>
        <w:t>[24]</w:t>
      </w:r>
      <w:r w:rsidRPr="0069438A">
        <w:rPr>
          <w:noProof/>
        </w:rPr>
        <w:tab/>
        <w:t xml:space="preserve">N. K. Denzin and Y. S. Lincoln, </w:t>
      </w:r>
      <w:r w:rsidRPr="0069438A">
        <w:rPr>
          <w:i/>
          <w:iCs/>
          <w:noProof/>
        </w:rPr>
        <w:t>*The SAGE Handbook of Qualitative Research*</w:t>
      </w:r>
      <w:r w:rsidRPr="0069438A">
        <w:rPr>
          <w:noProof/>
        </w:rPr>
        <w:t>, 5th ed. SAGE Publications, 2017.</w:t>
      </w:r>
    </w:p>
    <w:p w14:paraId="06F60416" w14:textId="77777777" w:rsidR="0069438A" w:rsidRPr="0069438A" w:rsidRDefault="0069438A" w:rsidP="0069438A">
      <w:pPr>
        <w:autoSpaceDE w:val="0"/>
        <w:autoSpaceDN w:val="0"/>
        <w:adjustRightInd w:val="0"/>
        <w:ind w:left="426" w:hanging="426"/>
        <w:rPr>
          <w:noProof/>
        </w:rPr>
      </w:pPr>
      <w:r w:rsidRPr="0069438A">
        <w:rPr>
          <w:noProof/>
        </w:rPr>
        <w:t>[25]</w:t>
      </w:r>
      <w:r w:rsidRPr="0069438A">
        <w:rPr>
          <w:noProof/>
        </w:rPr>
        <w:tab/>
        <w:t xml:space="preserve">M. B. Miles, A. M. Huberman, and J. Saldaña, </w:t>
      </w:r>
      <w:r w:rsidRPr="0069438A">
        <w:rPr>
          <w:i/>
          <w:iCs/>
          <w:noProof/>
        </w:rPr>
        <w:t>*Qualitative Data Analysis: A Methods Sourcebook*</w:t>
      </w:r>
      <w:r w:rsidRPr="0069438A">
        <w:rPr>
          <w:noProof/>
        </w:rPr>
        <w:t>, 4th ed. SAGE Publications, 2018.</w:t>
      </w:r>
    </w:p>
    <w:p w14:paraId="27076801" w14:textId="77777777" w:rsidR="0069438A" w:rsidRPr="0069438A" w:rsidRDefault="0069438A" w:rsidP="0069438A">
      <w:pPr>
        <w:autoSpaceDE w:val="0"/>
        <w:autoSpaceDN w:val="0"/>
        <w:adjustRightInd w:val="0"/>
        <w:ind w:left="426" w:hanging="426"/>
        <w:rPr>
          <w:noProof/>
        </w:rPr>
      </w:pPr>
      <w:r w:rsidRPr="0069438A">
        <w:rPr>
          <w:noProof/>
        </w:rPr>
        <w:t>[26]</w:t>
      </w:r>
      <w:r w:rsidRPr="0069438A">
        <w:rPr>
          <w:noProof/>
        </w:rPr>
        <w:tab/>
        <w:t xml:space="preserve">Y. Shi, Z. Zhang, S. Cao, and Q. Liu, “Dialogic teaching of controversial issues: discursive moves to enact two-sided discussions,” </w:t>
      </w:r>
      <w:r w:rsidRPr="0069438A">
        <w:rPr>
          <w:i/>
          <w:iCs/>
          <w:noProof/>
        </w:rPr>
        <w:t>Lang. Educ.</w:t>
      </w:r>
      <w:r w:rsidRPr="0069438A">
        <w:rPr>
          <w:noProof/>
        </w:rPr>
        <w:t>, vol. 38, no. 2, pp. 303–319, 2024, doi: 10.1080/09500782.2023.2240292.</w:t>
      </w:r>
    </w:p>
    <w:p w14:paraId="622DC80D" w14:textId="77777777" w:rsidR="0069438A" w:rsidRPr="0069438A" w:rsidRDefault="0069438A" w:rsidP="0069438A">
      <w:pPr>
        <w:autoSpaceDE w:val="0"/>
        <w:autoSpaceDN w:val="0"/>
        <w:adjustRightInd w:val="0"/>
        <w:ind w:left="426" w:hanging="426"/>
        <w:rPr>
          <w:noProof/>
        </w:rPr>
      </w:pPr>
      <w:r w:rsidRPr="0069438A">
        <w:rPr>
          <w:noProof/>
        </w:rPr>
        <w:t>[27]</w:t>
      </w:r>
      <w:r w:rsidRPr="0069438A">
        <w:rPr>
          <w:noProof/>
        </w:rPr>
        <w:tab/>
        <w:t xml:space="preserve">B. Gert-Jan Wansink, H. Mol, J. Kortekaas, and T. Mainhard, “Discussing controversial issues in the classroom: Exploring students’ perceptions of safety and their willingness to participate,” </w:t>
      </w:r>
      <w:r w:rsidRPr="0069438A">
        <w:rPr>
          <w:i/>
          <w:iCs/>
          <w:noProof/>
        </w:rPr>
        <w:t>Teach. Teach. Educ.</w:t>
      </w:r>
      <w:r w:rsidRPr="0069438A">
        <w:rPr>
          <w:noProof/>
        </w:rPr>
        <w:t>, vol. 125, p. 104044, Apr. 2023, doi: 10.1016/J.TATE.2023.104044.</w:t>
      </w:r>
    </w:p>
    <w:p w14:paraId="116084D3" w14:textId="77777777" w:rsidR="0069438A" w:rsidRPr="0069438A" w:rsidRDefault="0069438A" w:rsidP="0069438A">
      <w:pPr>
        <w:autoSpaceDE w:val="0"/>
        <w:autoSpaceDN w:val="0"/>
        <w:adjustRightInd w:val="0"/>
        <w:ind w:left="426" w:hanging="426"/>
        <w:rPr>
          <w:noProof/>
        </w:rPr>
      </w:pPr>
      <w:r w:rsidRPr="0069438A">
        <w:rPr>
          <w:noProof/>
        </w:rPr>
        <w:t>[28]</w:t>
      </w:r>
      <w:r w:rsidRPr="0069438A">
        <w:rPr>
          <w:noProof/>
        </w:rPr>
        <w:tab/>
        <w:t xml:space="preserve">F. Listrianti, T. Hidayah, and A. V. Lama, “Enhancing Contextual Understanding and Critical Thinking in Fiqh Learning through Problem-Based Learning,” </w:t>
      </w:r>
      <w:r w:rsidRPr="0069438A">
        <w:rPr>
          <w:i/>
          <w:iCs/>
          <w:noProof/>
        </w:rPr>
        <w:t>J. Islam. Educ. Res.</w:t>
      </w:r>
      <w:r w:rsidRPr="0069438A">
        <w:rPr>
          <w:noProof/>
        </w:rPr>
        <w:t>, vol. 6, no. 1, pp. 111–124, Mar. 2025, doi: 10.35719/JIER.V6I1.469.</w:t>
      </w:r>
    </w:p>
    <w:p w14:paraId="3ED44DEC" w14:textId="77777777" w:rsidR="0069438A" w:rsidRPr="0069438A" w:rsidRDefault="0069438A" w:rsidP="0069438A">
      <w:pPr>
        <w:autoSpaceDE w:val="0"/>
        <w:autoSpaceDN w:val="0"/>
        <w:adjustRightInd w:val="0"/>
        <w:ind w:left="426" w:hanging="426"/>
        <w:rPr>
          <w:noProof/>
        </w:rPr>
      </w:pPr>
      <w:r w:rsidRPr="0069438A">
        <w:rPr>
          <w:noProof/>
        </w:rPr>
        <w:t>[29]</w:t>
      </w:r>
      <w:r w:rsidRPr="0069438A">
        <w:rPr>
          <w:noProof/>
        </w:rPr>
        <w:tab/>
        <w:t xml:space="preserve">S. Jazil </w:t>
      </w:r>
      <w:r w:rsidRPr="0069438A">
        <w:rPr>
          <w:i/>
          <w:iCs/>
          <w:noProof/>
        </w:rPr>
        <w:t>et al.</w:t>
      </w:r>
      <w:r w:rsidRPr="0069438A">
        <w:rPr>
          <w:noProof/>
        </w:rPr>
        <w:t xml:space="preserve">, “Enhancing Critical Thinking in Fiqh Learning: The Role of Strategies and Media Integration in Islamic Higher Education,” </w:t>
      </w:r>
      <w:r w:rsidRPr="0069438A">
        <w:rPr>
          <w:i/>
          <w:iCs/>
          <w:noProof/>
        </w:rPr>
        <w:t>Malaysian J. Learn. Instr.</w:t>
      </w:r>
      <w:r w:rsidRPr="0069438A">
        <w:rPr>
          <w:noProof/>
        </w:rPr>
        <w:t>, vol. 22, no. 2, pp. 51–81, July 2025, doi: 10.32890/MJLI2025.22.2.3.</w:t>
      </w:r>
    </w:p>
    <w:p w14:paraId="71BE2435" w14:textId="77777777" w:rsidR="0069438A" w:rsidRPr="0069438A" w:rsidRDefault="0069438A" w:rsidP="0069438A">
      <w:pPr>
        <w:autoSpaceDE w:val="0"/>
        <w:autoSpaceDN w:val="0"/>
        <w:adjustRightInd w:val="0"/>
        <w:ind w:left="426" w:hanging="426"/>
        <w:rPr>
          <w:noProof/>
        </w:rPr>
      </w:pPr>
      <w:r w:rsidRPr="0069438A">
        <w:rPr>
          <w:noProof/>
        </w:rPr>
        <w:t>[30]</w:t>
      </w:r>
      <w:r w:rsidRPr="0069438A">
        <w:rPr>
          <w:noProof/>
        </w:rPr>
        <w:tab/>
        <w:t xml:space="preserve">S. T. Jarmer, “Critique of Religion and Critical Thinking in Religious Education,” </w:t>
      </w:r>
      <w:r w:rsidRPr="0069438A">
        <w:rPr>
          <w:i/>
          <w:iCs/>
          <w:noProof/>
        </w:rPr>
        <w:t>British Journal of Religious Education</w:t>
      </w:r>
      <w:r w:rsidRPr="0069438A">
        <w:rPr>
          <w:noProof/>
        </w:rPr>
        <w:t>, vol. 47, no. 3, pp. 253–267, July 2025, doi: 10.1080/01416200.2024.2403400.</w:t>
      </w:r>
    </w:p>
    <w:p w14:paraId="267FFE6A" w14:textId="77777777" w:rsidR="0069438A" w:rsidRPr="0069438A" w:rsidRDefault="0069438A" w:rsidP="0069438A">
      <w:pPr>
        <w:autoSpaceDE w:val="0"/>
        <w:autoSpaceDN w:val="0"/>
        <w:adjustRightInd w:val="0"/>
        <w:ind w:left="426" w:hanging="426"/>
        <w:rPr>
          <w:noProof/>
        </w:rPr>
      </w:pPr>
      <w:r w:rsidRPr="0069438A">
        <w:rPr>
          <w:noProof/>
        </w:rPr>
        <w:t>[31]</w:t>
      </w:r>
      <w:r w:rsidRPr="0069438A">
        <w:rPr>
          <w:noProof/>
        </w:rPr>
        <w:tab/>
        <w:t xml:space="preserve">J. Schuitema, P. Kruit, D. Knezic, O. van der Mast, and H. Nieuwelink, “Teachers Learning to Guide Classroom Discussions on Controversial Issues: A Study of a Professional Development Program,” </w:t>
      </w:r>
      <w:r w:rsidRPr="0069438A">
        <w:rPr>
          <w:i/>
          <w:iCs/>
          <w:noProof/>
        </w:rPr>
        <w:t>Int. J. Educ. Res.</w:t>
      </w:r>
      <w:r w:rsidRPr="0069438A">
        <w:rPr>
          <w:noProof/>
        </w:rPr>
        <w:t>, vol. 141, p. 103110, Jan. 2027, doi: 10.1016/J.IJER.2026.103110.</w:t>
      </w:r>
    </w:p>
    <w:p w14:paraId="174FF769" w14:textId="77777777" w:rsidR="0069438A" w:rsidRPr="0069438A" w:rsidRDefault="0069438A" w:rsidP="0069438A">
      <w:pPr>
        <w:autoSpaceDE w:val="0"/>
        <w:autoSpaceDN w:val="0"/>
        <w:adjustRightInd w:val="0"/>
        <w:ind w:left="426" w:hanging="426"/>
        <w:rPr>
          <w:noProof/>
        </w:rPr>
      </w:pPr>
      <w:r w:rsidRPr="0069438A">
        <w:rPr>
          <w:noProof/>
        </w:rPr>
        <w:t>[32]</w:t>
      </w:r>
      <w:r w:rsidRPr="0069438A">
        <w:rPr>
          <w:noProof/>
        </w:rPr>
        <w:tab/>
        <w:t xml:space="preserve">M. Vandecandelaere, G. Savenije, and G. Stoel, “Integrating perspectives on reasoning about controversial issues: mapping research directions for secondary education,” </w:t>
      </w:r>
      <w:r w:rsidRPr="0069438A">
        <w:rPr>
          <w:i/>
          <w:iCs/>
          <w:noProof/>
        </w:rPr>
        <w:t>Front. Educ.</w:t>
      </w:r>
      <w:r w:rsidRPr="0069438A">
        <w:rPr>
          <w:noProof/>
        </w:rPr>
        <w:t>, vol. 10, p. 1556966, Aug. 2025, doi: 10.3389/FEDUC.2025.1556966/TEXT.</w:t>
      </w:r>
    </w:p>
    <w:p w14:paraId="71D334E2" w14:textId="77777777" w:rsidR="0069438A" w:rsidRPr="0069438A" w:rsidRDefault="0069438A" w:rsidP="0069438A">
      <w:pPr>
        <w:autoSpaceDE w:val="0"/>
        <w:autoSpaceDN w:val="0"/>
        <w:adjustRightInd w:val="0"/>
        <w:ind w:left="426" w:hanging="426"/>
        <w:rPr>
          <w:noProof/>
        </w:rPr>
      </w:pPr>
      <w:r w:rsidRPr="0069438A">
        <w:rPr>
          <w:noProof/>
        </w:rPr>
        <w:t>[33]</w:t>
      </w:r>
      <w:r w:rsidRPr="0069438A">
        <w:rPr>
          <w:noProof/>
        </w:rPr>
        <w:tab/>
        <w:t xml:space="preserve">R. Mohd Nawi </w:t>
      </w:r>
      <w:r w:rsidRPr="0069438A">
        <w:rPr>
          <w:i/>
          <w:iCs/>
          <w:noProof/>
        </w:rPr>
        <w:t>et al.</w:t>
      </w:r>
      <w:r w:rsidRPr="0069438A">
        <w:rPr>
          <w:noProof/>
        </w:rPr>
        <w:t xml:space="preserve">, “Incorporating Critical Thinking in the Usul al-Fiqh Subject from an Islamic Perspective,” </w:t>
      </w:r>
      <w:r w:rsidRPr="0069438A">
        <w:rPr>
          <w:i/>
          <w:iCs/>
          <w:noProof/>
        </w:rPr>
        <w:t>AL-MAKRIFAH J. Knowl. Learn. Islam. Tradit. Cult.</w:t>
      </w:r>
      <w:r w:rsidRPr="0069438A">
        <w:rPr>
          <w:noProof/>
        </w:rPr>
        <w:t>, vol. 3, no. 2, pp. 1–15, Oct. 2025, doi: 10.37134/ALMAKRIFAH.VOL3.2.1.2025.</w:t>
      </w:r>
    </w:p>
    <w:p w14:paraId="4EA0B5B7" w14:textId="77777777" w:rsidR="0069438A" w:rsidRPr="0069438A" w:rsidRDefault="0069438A" w:rsidP="0069438A">
      <w:pPr>
        <w:autoSpaceDE w:val="0"/>
        <w:autoSpaceDN w:val="0"/>
        <w:adjustRightInd w:val="0"/>
        <w:ind w:left="426" w:hanging="426"/>
        <w:rPr>
          <w:noProof/>
        </w:rPr>
      </w:pPr>
      <w:r w:rsidRPr="0069438A">
        <w:rPr>
          <w:noProof/>
        </w:rPr>
        <w:t>[34]</w:t>
      </w:r>
      <w:r w:rsidRPr="0069438A">
        <w:rPr>
          <w:noProof/>
        </w:rPr>
        <w:tab/>
        <w:t xml:space="preserve">K. M. Jegstad, S. L. Heggernes, E. Jøsok, E. Ryen, I. K. Svanes, and H. Tørnby, “Approaches to Critical Thinking in Primary Education Classrooms: A Systematic Review,” </w:t>
      </w:r>
      <w:r w:rsidRPr="0069438A">
        <w:rPr>
          <w:i/>
          <w:iCs/>
          <w:noProof/>
        </w:rPr>
        <w:t>Educ. Res. Rev.</w:t>
      </w:r>
      <w:r w:rsidRPr="0069438A">
        <w:rPr>
          <w:noProof/>
        </w:rPr>
        <w:t>, vol. 48, p. 100711, Aug. 2025, doi: 10.1016/J.EDUREV.2025.100711.</w:t>
      </w:r>
    </w:p>
    <w:p w14:paraId="066811D0" w14:textId="77777777" w:rsidR="0069438A" w:rsidRPr="0069438A" w:rsidRDefault="0069438A" w:rsidP="0069438A">
      <w:pPr>
        <w:autoSpaceDE w:val="0"/>
        <w:autoSpaceDN w:val="0"/>
        <w:adjustRightInd w:val="0"/>
        <w:ind w:left="426" w:hanging="426"/>
        <w:rPr>
          <w:noProof/>
        </w:rPr>
      </w:pPr>
      <w:r w:rsidRPr="0069438A">
        <w:rPr>
          <w:noProof/>
        </w:rPr>
        <w:t>[35]</w:t>
      </w:r>
      <w:r w:rsidRPr="0069438A">
        <w:rPr>
          <w:noProof/>
        </w:rPr>
        <w:tab/>
        <w:t xml:space="preserve">A. N. M. Fuadi and A. A. Azis, “Character Values in Adab al-’Alim wa al-Muta’allim by KH. Hasyim Asy’ari and Their Implications for Contemporary Islamic Education,” </w:t>
      </w:r>
      <w:r w:rsidRPr="0069438A">
        <w:rPr>
          <w:i/>
          <w:iCs/>
          <w:noProof/>
        </w:rPr>
        <w:t>J. Indones. Educ. Theory, Research, and Innovation</w:t>
      </w:r>
      <w:r w:rsidRPr="0069438A">
        <w:rPr>
          <w:noProof/>
        </w:rPr>
        <w:t>, vol. 5, no. 4, pp. 249–260, 2025, doi: 10.59818/jpi.v5i4.1885.</w:t>
      </w:r>
    </w:p>
    <w:p w14:paraId="6180145B" w14:textId="77777777" w:rsidR="0069438A" w:rsidRPr="0069438A" w:rsidRDefault="0069438A" w:rsidP="0069438A">
      <w:pPr>
        <w:autoSpaceDE w:val="0"/>
        <w:autoSpaceDN w:val="0"/>
        <w:adjustRightInd w:val="0"/>
        <w:ind w:left="426" w:hanging="426"/>
        <w:rPr>
          <w:noProof/>
        </w:rPr>
      </w:pPr>
      <w:r w:rsidRPr="0069438A">
        <w:rPr>
          <w:noProof/>
        </w:rPr>
        <w:t>[36]</w:t>
      </w:r>
      <w:r w:rsidRPr="0069438A">
        <w:rPr>
          <w:noProof/>
        </w:rPr>
        <w:tab/>
        <w:t xml:space="preserve">D. Ortega-Sánchez, E. Sanz de la Cal, J. Ibáñez Quintana, and E. Encabo-Fernández, “Editorial: Teaching Controversial Issues in Secondary Education,” </w:t>
      </w:r>
      <w:r w:rsidRPr="0069438A">
        <w:rPr>
          <w:i/>
          <w:iCs/>
          <w:noProof/>
        </w:rPr>
        <w:t>Front. Educ.</w:t>
      </w:r>
      <w:r w:rsidRPr="0069438A">
        <w:rPr>
          <w:noProof/>
        </w:rPr>
        <w:t>, vol. 10, p. 1574469, Mar. 2025, doi: 10.3389/FEDUC.2025.1574469/TEXT.</w:t>
      </w:r>
    </w:p>
    <w:p w14:paraId="0999BEF4" w14:textId="77777777" w:rsidR="0069438A" w:rsidRPr="0069438A" w:rsidRDefault="0069438A" w:rsidP="0069438A">
      <w:pPr>
        <w:autoSpaceDE w:val="0"/>
        <w:autoSpaceDN w:val="0"/>
        <w:adjustRightInd w:val="0"/>
        <w:ind w:left="426" w:hanging="426"/>
        <w:rPr>
          <w:noProof/>
        </w:rPr>
      </w:pPr>
      <w:r w:rsidRPr="0069438A">
        <w:rPr>
          <w:noProof/>
        </w:rPr>
        <w:t>[37]</w:t>
      </w:r>
      <w:r w:rsidRPr="0069438A">
        <w:rPr>
          <w:noProof/>
        </w:rPr>
        <w:tab/>
        <w:t xml:space="preserve">W. Xie and X. Lin, “Are dialogic teaching-and-learning programs effective in pre-primary and primary schools? A meta-analysis,” </w:t>
      </w:r>
      <w:r w:rsidRPr="0069438A">
        <w:rPr>
          <w:i/>
          <w:iCs/>
          <w:noProof/>
        </w:rPr>
        <w:t>Teach. Teach. Educ.</w:t>
      </w:r>
      <w:r w:rsidRPr="0069438A">
        <w:rPr>
          <w:noProof/>
        </w:rPr>
        <w:t>, vol. 153, p. 104823, Jan. 2025, doi: 10.1016/J.TATE.2024.104823.</w:t>
      </w:r>
    </w:p>
    <w:p w14:paraId="6A3F4C96" w14:textId="77777777" w:rsidR="0069438A" w:rsidRPr="0069438A" w:rsidRDefault="0069438A" w:rsidP="0069438A">
      <w:pPr>
        <w:autoSpaceDE w:val="0"/>
        <w:autoSpaceDN w:val="0"/>
        <w:adjustRightInd w:val="0"/>
        <w:ind w:left="426" w:hanging="426"/>
        <w:rPr>
          <w:noProof/>
        </w:rPr>
      </w:pPr>
      <w:r w:rsidRPr="0069438A">
        <w:rPr>
          <w:noProof/>
        </w:rPr>
        <w:t>[38]</w:t>
      </w:r>
      <w:r w:rsidRPr="0069438A">
        <w:rPr>
          <w:noProof/>
        </w:rPr>
        <w:tab/>
        <w:t xml:space="preserve">A. N. M. Fuadi, A. I. A. Jaya, D. A. Fitriana, and I. bin Salem, “Strategic management of digital transformation in Aqidah Akhlak learning at Islamic senior high schools,” </w:t>
      </w:r>
      <w:r w:rsidRPr="0069438A">
        <w:rPr>
          <w:i/>
          <w:iCs/>
          <w:noProof/>
        </w:rPr>
        <w:t>Turots J. Educ. Islam</w:t>
      </w:r>
      <w:r w:rsidRPr="0069438A">
        <w:rPr>
          <w:noProof/>
        </w:rPr>
        <w:t>, vol. 7, no. 2, pp. 855–869, 2025, doi: 10.51468/jpi.v7i2.1142.</w:t>
      </w:r>
    </w:p>
    <w:p w14:paraId="196A0E4E" w14:textId="77777777" w:rsidR="0069438A" w:rsidRPr="0069438A" w:rsidRDefault="0069438A" w:rsidP="0069438A">
      <w:pPr>
        <w:autoSpaceDE w:val="0"/>
        <w:autoSpaceDN w:val="0"/>
        <w:adjustRightInd w:val="0"/>
        <w:ind w:left="426" w:hanging="426"/>
        <w:rPr>
          <w:noProof/>
        </w:rPr>
      </w:pPr>
      <w:r w:rsidRPr="0069438A">
        <w:rPr>
          <w:noProof/>
        </w:rPr>
        <w:t>[39]</w:t>
      </w:r>
      <w:r w:rsidRPr="0069438A">
        <w:rPr>
          <w:noProof/>
        </w:rPr>
        <w:tab/>
        <w:t xml:space="preserve">M. Y. A. Nugroho, N. Natasya, A. N. M. Fuadi, A. I. A. Jaya, and D. A. Fitriana, “The Effects of Qur’an-Based Differentiated Mathematics Instruction on Academic Achievement and Religious Character: The Role of Students’ Learning Styles at MAN 2 Wonosobo,” </w:t>
      </w:r>
      <w:r w:rsidRPr="0069438A">
        <w:rPr>
          <w:i/>
          <w:iCs/>
          <w:noProof/>
        </w:rPr>
        <w:t>Turots J. Pendidik. Islam</w:t>
      </w:r>
      <w:r w:rsidRPr="0069438A">
        <w:rPr>
          <w:noProof/>
        </w:rPr>
        <w:t>, pp. 955–962, 2025.</w:t>
      </w:r>
    </w:p>
    <w:p w14:paraId="14B38AD3" w14:textId="77777777" w:rsidR="0069438A" w:rsidRPr="0069438A" w:rsidRDefault="0069438A" w:rsidP="0069438A">
      <w:pPr>
        <w:autoSpaceDE w:val="0"/>
        <w:autoSpaceDN w:val="0"/>
        <w:adjustRightInd w:val="0"/>
        <w:ind w:left="426" w:hanging="426"/>
        <w:rPr>
          <w:noProof/>
        </w:rPr>
      </w:pPr>
      <w:r w:rsidRPr="0069438A">
        <w:rPr>
          <w:noProof/>
        </w:rPr>
        <w:t>[40]</w:t>
      </w:r>
      <w:r w:rsidRPr="0069438A">
        <w:rPr>
          <w:noProof/>
        </w:rPr>
        <w:tab/>
        <w:t xml:space="preserve">C. Karousiou, M. Vrikki, and M. Evagorou, “Teachers’ Perceptions on Introducing Sensitive and Controversial Issues in the Classroom,” </w:t>
      </w:r>
      <w:r w:rsidRPr="0069438A">
        <w:rPr>
          <w:i/>
          <w:iCs/>
          <w:noProof/>
        </w:rPr>
        <w:t>Front. Educ.</w:t>
      </w:r>
      <w:r w:rsidRPr="0069438A">
        <w:rPr>
          <w:noProof/>
        </w:rPr>
        <w:t>, vol. 10, p. 1481173, Mar. 2025, doi: 10.3389/FEDUC.2025.1481173/TEXT.</w:t>
      </w:r>
    </w:p>
    <w:p w14:paraId="46E174E1" w14:textId="77777777" w:rsidR="0069438A" w:rsidRPr="0069438A" w:rsidRDefault="0069438A" w:rsidP="0069438A">
      <w:pPr>
        <w:autoSpaceDE w:val="0"/>
        <w:autoSpaceDN w:val="0"/>
        <w:adjustRightInd w:val="0"/>
        <w:ind w:left="426" w:hanging="426"/>
        <w:rPr>
          <w:noProof/>
        </w:rPr>
      </w:pPr>
      <w:r w:rsidRPr="0069438A">
        <w:rPr>
          <w:noProof/>
        </w:rPr>
        <w:t>[41]</w:t>
      </w:r>
      <w:r w:rsidRPr="0069438A">
        <w:rPr>
          <w:noProof/>
        </w:rPr>
        <w:tab/>
        <w:t xml:space="preserve">S. Ngarofah </w:t>
      </w:r>
      <w:r w:rsidRPr="0069438A">
        <w:rPr>
          <w:i/>
          <w:iCs/>
          <w:noProof/>
        </w:rPr>
        <w:t>et al.</w:t>
      </w:r>
      <w:r w:rsidRPr="0069438A">
        <w:rPr>
          <w:noProof/>
        </w:rPr>
        <w:t xml:space="preserve">, “The Process of Shaping the Character of the Insan Kamil Through the ‘Seven Habits of Great Indonesian Children’ Program at SDIT Permata Hati Banjarnegara,” </w:t>
      </w:r>
      <w:r w:rsidRPr="0069438A">
        <w:rPr>
          <w:i/>
          <w:iCs/>
          <w:noProof/>
        </w:rPr>
        <w:t>Turots J. Pendidik. Islam</w:t>
      </w:r>
      <w:r w:rsidRPr="0069438A">
        <w:rPr>
          <w:noProof/>
        </w:rPr>
        <w:t>, pp. 1122–1131, 2024.</w:t>
      </w:r>
    </w:p>
    <w:p w14:paraId="767CB896" w14:textId="6802A784" w:rsidR="00F06D8C" w:rsidRDefault="00ED5013">
      <w:pPr>
        <w:pBdr>
          <w:top w:val="nil"/>
          <w:left w:val="nil"/>
          <w:bottom w:val="nil"/>
          <w:right w:val="nil"/>
          <w:between w:val="nil"/>
        </w:pBdr>
        <w:spacing w:line="288" w:lineRule="auto"/>
        <w:ind w:left="270" w:hanging="360"/>
        <w:rPr>
          <w:b/>
          <w:bCs/>
          <w:color w:val="FF0000"/>
        </w:rPr>
        <w:sectPr w:rsidR="00F06D8C" w:rsidSect="004E6530">
          <w:type w:val="continuous"/>
          <w:pgSz w:w="11906" w:h="16838"/>
          <w:pgMar w:top="2036" w:right="1134" w:bottom="1134" w:left="1134" w:header="1134" w:footer="567" w:gutter="0"/>
          <w:cols w:num="2" w:space="720" w:equalWidth="0">
            <w:col w:w="4593" w:space="451"/>
            <w:col w:w="4593" w:space="0"/>
          </w:cols>
        </w:sectPr>
      </w:pPr>
      <w:r>
        <w:fldChar w:fldCharType="end"/>
      </w:r>
    </w:p>
    <w:p w14:paraId="29C239AC" w14:textId="77777777" w:rsidR="00F06D8C" w:rsidRDefault="00F06D8C">
      <w:pPr>
        <w:pBdr>
          <w:top w:val="nil"/>
          <w:left w:val="nil"/>
          <w:bottom w:val="nil"/>
          <w:right w:val="nil"/>
          <w:between w:val="nil"/>
        </w:pBdr>
        <w:spacing w:line="288" w:lineRule="auto"/>
        <w:rPr>
          <w:color w:val="000000"/>
        </w:rPr>
      </w:pPr>
    </w:p>
    <w:sectPr w:rsidR="00F06D8C">
      <w:type w:val="continuous"/>
      <w:pgSz w:w="11906" w:h="16838"/>
      <w:pgMar w:top="2036" w:right="1134" w:bottom="1134" w:left="1134"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0379E" w14:textId="77777777" w:rsidR="00F40FC6" w:rsidRDefault="00F40FC6">
      <w:r>
        <w:separator/>
      </w:r>
    </w:p>
  </w:endnote>
  <w:endnote w:type="continuationSeparator" w:id="0">
    <w:p w14:paraId="24C2560F" w14:textId="77777777" w:rsidR="00F40FC6" w:rsidRDefault="00F4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7D03932-7F18-4372-B6C4-0B1DDE398A36}"/>
  </w:font>
  <w:font w:name="Cambria">
    <w:panose1 w:val="02040503050406030204"/>
    <w:charset w:val="00"/>
    <w:family w:val="roman"/>
    <w:pitch w:val="variable"/>
    <w:sig w:usb0="E00006FF" w:usb1="420024FF" w:usb2="02000000" w:usb3="00000000" w:csb0="0000019F" w:csb1="00000000"/>
    <w:embedRegular r:id="rId2" w:fontKey="{0C6BB4CC-4823-493E-A659-8AA2B66A1793}"/>
    <w:embedBold r:id="rId3" w:fontKey="{DB37E507-0F2D-4932-BC3C-D5A47F5CEE29}"/>
    <w:embedItalic r:id="rId4" w:fontKey="{E8A548B8-B748-4946-9993-EDAD0F96D8F6}"/>
    <w:embedBoldItalic r:id="rId5" w:fontKey="{7F08A749-B778-4DF4-B456-D0670A6F9088}"/>
  </w:font>
  <w:font w:name="Calibri">
    <w:panose1 w:val="020F0502020204030204"/>
    <w:charset w:val="00"/>
    <w:family w:val="swiss"/>
    <w:pitch w:val="variable"/>
    <w:sig w:usb0="E4002EFF" w:usb1="C200247B" w:usb2="00000009" w:usb3="00000000" w:csb0="000001FF" w:csb1="00000000"/>
    <w:embedRegular r:id="rId6" w:fontKey="{388FDA57-7D55-4AAE-9086-B6F5631A11F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6C00" w14:textId="77777777" w:rsidR="00F06D8C" w:rsidRDefault="00000000">
    <w:pPr>
      <w:pBdr>
        <w:top w:val="nil"/>
        <w:left w:val="nil"/>
        <w:bottom w:val="nil"/>
        <w:right w:val="nil"/>
        <w:between w:val="nil"/>
      </w:pBdr>
      <w:spacing w:line="276" w:lineRule="auto"/>
      <w:jc w:val="left"/>
      <w:rPr>
        <w:color w:val="000000"/>
      </w:rPr>
    </w:pPr>
    <w:r>
      <w:rPr>
        <w:noProof/>
      </w:rPr>
      <w:drawing>
        <wp:anchor distT="0" distB="0" distL="0" distR="0" simplePos="0" relativeHeight="251656192" behindDoc="1" locked="0" layoutInCell="1" hidden="0" allowOverlap="1" wp14:anchorId="7C2E3B05" wp14:editId="149B1C97">
          <wp:simplePos x="0" y="0"/>
          <wp:positionH relativeFrom="column">
            <wp:posOffset>76201</wp:posOffset>
          </wp:positionH>
          <wp:positionV relativeFrom="paragraph">
            <wp:posOffset>228600</wp:posOffset>
          </wp:positionV>
          <wp:extent cx="762000" cy="254557"/>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2000" cy="254557"/>
                  </a:xfrm>
                  <a:prstGeom prst="rect">
                    <a:avLst/>
                  </a:prstGeom>
                  <a:ln/>
                </pic:spPr>
              </pic:pic>
            </a:graphicData>
          </a:graphic>
        </wp:anchor>
      </w:drawing>
    </w:r>
  </w:p>
  <w:tbl>
    <w:tblPr>
      <w:tblStyle w:val="a5"/>
      <w:tblW w:w="9026" w:type="dxa"/>
      <w:jc w:val="right"/>
      <w:tblInd w:w="0" w:type="dxa"/>
      <w:tblLayout w:type="fixed"/>
      <w:tblLook w:val="0400" w:firstRow="0" w:lastRow="0" w:firstColumn="0" w:lastColumn="0" w:noHBand="0" w:noVBand="1"/>
    </w:tblPr>
    <w:tblGrid>
      <w:gridCol w:w="8496"/>
      <w:gridCol w:w="530"/>
    </w:tblGrid>
    <w:tr w:rsidR="00F06D8C" w14:paraId="7F193F8B" w14:textId="77777777">
      <w:trPr>
        <w:jc w:val="right"/>
      </w:trPr>
      <w:tc>
        <w:tcPr>
          <w:tcW w:w="8496" w:type="dxa"/>
          <w:vAlign w:val="center"/>
        </w:tcPr>
        <w:p w14:paraId="3682098D" w14:textId="77777777" w:rsidR="00F06D8C" w:rsidRDefault="00000000">
          <w:pPr>
            <w:pBdr>
              <w:top w:val="nil"/>
              <w:left w:val="nil"/>
              <w:bottom w:val="nil"/>
              <w:right w:val="nil"/>
              <w:between w:val="nil"/>
            </w:pBdr>
            <w:spacing w:line="288" w:lineRule="auto"/>
            <w:ind w:left="1275"/>
            <w:rPr>
              <w:color w:val="000000"/>
              <w:sz w:val="16"/>
              <w:szCs w:val="16"/>
            </w:rPr>
          </w:pPr>
          <w:r>
            <w:rPr>
              <w:color w:val="000000"/>
              <w:sz w:val="16"/>
              <w:szCs w:val="16"/>
            </w:rPr>
            <w:t>Creative Commons Attribution-</w:t>
          </w:r>
          <w:proofErr w:type="spellStart"/>
          <w:r>
            <w:rPr>
              <w:color w:val="000000"/>
              <w:sz w:val="16"/>
              <w:szCs w:val="16"/>
            </w:rPr>
            <w:t>NonCommercial</w:t>
          </w:r>
          <w:proofErr w:type="spellEnd"/>
          <w:r>
            <w:rPr>
              <w:color w:val="000000"/>
              <w:sz w:val="16"/>
              <w:szCs w:val="16"/>
            </w:rPr>
            <w:t>-</w:t>
          </w:r>
          <w:proofErr w:type="spellStart"/>
          <w:r>
            <w:rPr>
              <w:color w:val="000000"/>
              <w:sz w:val="16"/>
              <w:szCs w:val="16"/>
            </w:rPr>
            <w:t>ShareAlike</w:t>
          </w:r>
          <w:proofErr w:type="spellEnd"/>
          <w:r>
            <w:rPr>
              <w:color w:val="000000"/>
              <w:sz w:val="16"/>
              <w:szCs w:val="16"/>
            </w:rPr>
            <w:t xml:space="preserve"> 4.0 International License. </w:t>
          </w:r>
        </w:p>
        <w:p w14:paraId="35B53FFD" w14:textId="018AA457" w:rsidR="00F06D8C" w:rsidRDefault="00000000">
          <w:pPr>
            <w:pBdr>
              <w:top w:val="nil"/>
              <w:left w:val="nil"/>
              <w:bottom w:val="single" w:sz="6" w:space="1" w:color="000000"/>
              <w:right w:val="nil"/>
              <w:between w:val="nil"/>
            </w:pBdr>
            <w:tabs>
              <w:tab w:val="center" w:pos="4153"/>
              <w:tab w:val="right" w:pos="8306"/>
            </w:tabs>
            <w:ind w:left="1275"/>
            <w:jc w:val="left"/>
            <w:rPr>
              <w:smallCaps/>
              <w:color w:val="000000"/>
            </w:rPr>
          </w:pPr>
          <w:r>
            <w:rPr>
              <w:sz w:val="16"/>
              <w:szCs w:val="16"/>
            </w:rPr>
            <w:t xml:space="preserve">Copyright © 2026 </w:t>
          </w:r>
          <w:r>
            <w:t xml:space="preserve">- </w:t>
          </w:r>
          <w:r>
            <w:rPr>
              <w:b/>
              <w:bCs/>
              <w:vertAlign w:val="superscript"/>
            </w:rPr>
            <w:t>1</w:t>
          </w:r>
          <w:proofErr w:type="gramStart"/>
          <w:r>
            <w:rPr>
              <w:vertAlign w:val="superscript"/>
            </w:rPr>
            <w:t>)</w:t>
          </w:r>
          <w:r>
            <w:t xml:space="preserve">  </w:t>
          </w:r>
          <w:r w:rsidR="00D64BFD">
            <w:t>Ahmad</w:t>
          </w:r>
          <w:proofErr w:type="gramEnd"/>
          <w:r w:rsidR="00D64BFD">
            <w:t xml:space="preserve"> Rifa’ai</w:t>
          </w:r>
          <w:r>
            <w:t xml:space="preserve">, </w:t>
          </w:r>
          <w:r>
            <w:rPr>
              <w:vertAlign w:val="superscript"/>
            </w:rPr>
            <w:t>2</w:t>
          </w:r>
          <w:proofErr w:type="gramStart"/>
          <w:r>
            <w:rPr>
              <w:vertAlign w:val="superscript"/>
            </w:rPr>
            <w:t>)</w:t>
          </w:r>
          <w:r>
            <w:t xml:space="preserve">  </w:t>
          </w:r>
          <w:r w:rsidR="00D64BFD">
            <w:t>Arim</w:t>
          </w:r>
          <w:proofErr w:type="gramEnd"/>
          <w:r w:rsidR="00D64BFD">
            <w:t xml:space="preserve"> </w:t>
          </w:r>
          <w:proofErr w:type="spellStart"/>
          <w:r w:rsidR="00D64BFD">
            <w:t>Irsyadulloh</w:t>
          </w:r>
          <w:proofErr w:type="spellEnd"/>
          <w:r w:rsidR="00D64BFD">
            <w:t xml:space="preserve"> Albin Jaya</w:t>
          </w:r>
        </w:p>
      </w:tc>
      <w:tc>
        <w:tcPr>
          <w:tcW w:w="530" w:type="dxa"/>
          <w:shd w:val="clear" w:color="auto" w:fill="17A986"/>
          <w:vAlign w:val="center"/>
        </w:tcPr>
        <w:p w14:paraId="0564979E" w14:textId="77777777" w:rsidR="00F06D8C" w:rsidRDefault="00000000">
          <w:pPr>
            <w:pBdr>
              <w:top w:val="nil"/>
              <w:left w:val="nil"/>
              <w:bottom w:val="nil"/>
              <w:right w:val="nil"/>
              <w:between w:val="nil"/>
            </w:pBdr>
            <w:tabs>
              <w:tab w:val="center" w:pos="4153"/>
              <w:tab w:val="right" w:pos="8306"/>
            </w:tabs>
            <w:jc w:val="center"/>
            <w:rPr>
              <w:color w:val="FFFFFF"/>
            </w:rPr>
          </w:pPr>
          <w:r>
            <w:rPr>
              <w:color w:val="FFFFFF"/>
            </w:rPr>
            <w:fldChar w:fldCharType="begin"/>
          </w:r>
          <w:r>
            <w:rPr>
              <w:color w:val="FFFFFF"/>
            </w:rPr>
            <w:instrText>PAGE</w:instrText>
          </w:r>
          <w:r>
            <w:rPr>
              <w:color w:val="FFFFFF"/>
            </w:rPr>
            <w:fldChar w:fldCharType="separate"/>
          </w:r>
          <w:r w:rsidR="003736FC">
            <w:rPr>
              <w:noProof/>
              <w:color w:val="FFFFFF"/>
            </w:rPr>
            <w:t>1</w:t>
          </w:r>
          <w:r>
            <w:rPr>
              <w:color w:val="FFFFFF"/>
            </w:rPr>
            <w:fldChar w:fldCharType="end"/>
          </w:r>
        </w:p>
      </w:tc>
    </w:tr>
  </w:tbl>
  <w:p w14:paraId="06A7ABB7" w14:textId="77777777" w:rsidR="00F06D8C" w:rsidRDefault="00F06D8C">
    <w:pPr>
      <w:pBdr>
        <w:top w:val="nil"/>
        <w:left w:val="nil"/>
        <w:bottom w:val="nil"/>
        <w:right w:val="nil"/>
        <w:between w:val="nil"/>
      </w:pBdr>
      <w:spacing w:line="288" w:lineRule="auto"/>
      <w:ind w:right="100"/>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7C50" w14:textId="77777777" w:rsidR="00F06D8C" w:rsidRDefault="00F06D8C">
    <w:pPr>
      <w:pBdr>
        <w:top w:val="nil"/>
        <w:left w:val="nil"/>
        <w:bottom w:val="nil"/>
        <w:right w:val="nil"/>
        <w:between w:val="nil"/>
      </w:pBdr>
      <w:spacing w:line="276" w:lineRule="auto"/>
      <w:jc w:val="left"/>
      <w:rPr>
        <w:color w:val="000000"/>
      </w:rPr>
    </w:pPr>
  </w:p>
  <w:tbl>
    <w:tblPr>
      <w:tblStyle w:val="a6"/>
      <w:tblW w:w="9639" w:type="dxa"/>
      <w:jc w:val="right"/>
      <w:tblInd w:w="0" w:type="dxa"/>
      <w:tblLayout w:type="fixed"/>
      <w:tblLook w:val="0400" w:firstRow="0" w:lastRow="0" w:firstColumn="0" w:lastColumn="0" w:noHBand="0" w:noVBand="1"/>
    </w:tblPr>
    <w:tblGrid>
      <w:gridCol w:w="9157"/>
      <w:gridCol w:w="482"/>
    </w:tblGrid>
    <w:tr w:rsidR="00F06D8C" w14:paraId="55455B20" w14:textId="77777777">
      <w:trPr>
        <w:jc w:val="right"/>
      </w:trPr>
      <w:tc>
        <w:tcPr>
          <w:tcW w:w="9157" w:type="dxa"/>
          <w:vAlign w:val="center"/>
        </w:tcPr>
        <w:p w14:paraId="4B9DF0B0" w14:textId="7AB31BA9" w:rsidR="00F06D8C" w:rsidRDefault="00384DC4">
          <w:pPr>
            <w:pBdr>
              <w:top w:val="nil"/>
              <w:left w:val="nil"/>
              <w:bottom w:val="single" w:sz="6" w:space="1" w:color="000000"/>
              <w:right w:val="nil"/>
              <w:between w:val="nil"/>
            </w:pBdr>
            <w:tabs>
              <w:tab w:val="center" w:pos="4153"/>
              <w:tab w:val="right" w:pos="8306"/>
            </w:tabs>
            <w:jc w:val="right"/>
            <w:rPr>
              <w:smallCaps/>
              <w:color w:val="000000"/>
            </w:rPr>
          </w:pPr>
          <w:r>
            <w:rPr>
              <w:i/>
              <w:iCs/>
              <w:color w:val="000000"/>
              <w:sz w:val="16"/>
              <w:szCs w:val="16"/>
            </w:rPr>
            <w:t xml:space="preserve">Ahmad Rifa’ai, et al.: </w:t>
          </w:r>
          <w:r w:rsidRPr="00384DC4">
            <w:rPr>
              <w:i/>
              <w:iCs/>
              <w:color w:val="000000"/>
              <w:sz w:val="16"/>
              <w:szCs w:val="16"/>
            </w:rPr>
            <w:t xml:space="preserve">Controversial Issues in Contemporary Fiqh Education: Developing Students' Critical Thinking in Madrasah </w:t>
          </w:r>
          <w:proofErr w:type="spellStart"/>
          <w:r w:rsidRPr="00384DC4">
            <w:rPr>
              <w:i/>
              <w:iCs/>
              <w:color w:val="000000"/>
              <w:sz w:val="16"/>
              <w:szCs w:val="16"/>
            </w:rPr>
            <w:t>Tsanawiyah</w:t>
          </w:r>
          <w:proofErr w:type="spellEnd"/>
          <w:r>
            <w:rPr>
              <w:i/>
              <w:iCs/>
              <w:color w:val="000000"/>
              <w:sz w:val="16"/>
              <w:szCs w:val="16"/>
            </w:rPr>
            <w:t xml:space="preserve"> </w:t>
          </w:r>
        </w:p>
      </w:tc>
      <w:tc>
        <w:tcPr>
          <w:tcW w:w="482" w:type="dxa"/>
          <w:shd w:val="clear" w:color="auto" w:fill="17A986"/>
          <w:vAlign w:val="center"/>
        </w:tcPr>
        <w:p w14:paraId="052771CC" w14:textId="77777777" w:rsidR="00F06D8C" w:rsidRDefault="00000000">
          <w:pPr>
            <w:pBdr>
              <w:top w:val="nil"/>
              <w:left w:val="nil"/>
              <w:bottom w:val="nil"/>
              <w:right w:val="nil"/>
              <w:between w:val="nil"/>
            </w:pBdr>
            <w:tabs>
              <w:tab w:val="center" w:pos="4153"/>
              <w:tab w:val="right" w:pos="8306"/>
            </w:tabs>
            <w:jc w:val="center"/>
            <w:rPr>
              <w:color w:val="FFFFFF"/>
            </w:rPr>
          </w:pPr>
          <w:r>
            <w:rPr>
              <w:color w:val="FFFFFF"/>
            </w:rPr>
            <w:fldChar w:fldCharType="begin"/>
          </w:r>
          <w:r>
            <w:rPr>
              <w:color w:val="FFFFFF"/>
            </w:rPr>
            <w:instrText>PAGE</w:instrText>
          </w:r>
          <w:r>
            <w:rPr>
              <w:color w:val="FFFFFF"/>
            </w:rPr>
            <w:fldChar w:fldCharType="separate"/>
          </w:r>
          <w:r w:rsidR="003736FC">
            <w:rPr>
              <w:noProof/>
              <w:color w:val="FFFFFF"/>
            </w:rPr>
            <w:t>2</w:t>
          </w:r>
          <w:r>
            <w:rPr>
              <w:color w:val="FFFFFF"/>
            </w:rPr>
            <w:fldChar w:fldCharType="end"/>
          </w:r>
        </w:p>
      </w:tc>
    </w:tr>
  </w:tbl>
  <w:p w14:paraId="60C5C76B" w14:textId="77777777" w:rsidR="00F06D8C" w:rsidRDefault="00F06D8C">
    <w:pPr>
      <w:pBdr>
        <w:top w:val="nil"/>
        <w:left w:val="nil"/>
        <w:bottom w:val="nil"/>
        <w:right w:val="nil"/>
        <w:between w:val="nil"/>
      </w:pBdr>
      <w:tabs>
        <w:tab w:val="center" w:pos="4153"/>
        <w:tab w:val="right" w:pos="8306"/>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EFDD" w14:textId="77777777" w:rsidR="00F40FC6" w:rsidRDefault="00F40FC6">
      <w:r>
        <w:separator/>
      </w:r>
    </w:p>
  </w:footnote>
  <w:footnote w:type="continuationSeparator" w:id="0">
    <w:p w14:paraId="75FA83AA" w14:textId="77777777" w:rsidR="00F40FC6" w:rsidRDefault="00F40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EE3B" w14:textId="77777777" w:rsidR="00F06D8C"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11DD8A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480.8pt;height:328.65pt;z-index:-251657216;mso-position-horizontal:center;mso-position-horizontal-relative:margin;mso-position-vertical:center;mso-position-vertical-relative:margin">
          <v:imagedata r:id="rId1" o:title="image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AEFA" w14:textId="77777777" w:rsidR="00F06D8C" w:rsidRDefault="00F06D8C">
    <w:pPr>
      <w:pBdr>
        <w:top w:val="nil"/>
        <w:left w:val="nil"/>
        <w:bottom w:val="nil"/>
        <w:right w:val="nil"/>
        <w:between w:val="nil"/>
      </w:pBdr>
      <w:spacing w:line="276" w:lineRule="auto"/>
      <w:jc w:val="left"/>
      <w:rPr>
        <w:color w:val="000000"/>
      </w:rPr>
    </w:pPr>
  </w:p>
  <w:tbl>
    <w:tblPr>
      <w:tblStyle w:val="a3"/>
      <w:tblW w:w="9026" w:type="dxa"/>
      <w:tblInd w:w="0" w:type="dxa"/>
      <w:tblLayout w:type="fixed"/>
      <w:tblLook w:val="0400" w:firstRow="0" w:lastRow="0" w:firstColumn="0" w:lastColumn="0" w:noHBand="0" w:noVBand="1"/>
    </w:tblPr>
    <w:tblGrid>
      <w:gridCol w:w="1449"/>
      <w:gridCol w:w="6129"/>
      <w:gridCol w:w="1448"/>
    </w:tblGrid>
    <w:tr w:rsidR="00F06D8C" w14:paraId="3DCAEEE8" w14:textId="77777777">
      <w:trPr>
        <w:trHeight w:val="849"/>
      </w:trPr>
      <w:tc>
        <w:tcPr>
          <w:tcW w:w="1449" w:type="dxa"/>
        </w:tcPr>
        <w:p w14:paraId="2777A36F" w14:textId="77777777" w:rsidR="00F06D8C" w:rsidRDefault="00000000">
          <w:pPr>
            <w:pBdr>
              <w:top w:val="nil"/>
              <w:left w:val="nil"/>
              <w:bottom w:val="none" w:sz="0" w:space="0" w:color="000000"/>
              <w:right w:val="nil"/>
              <w:between w:val="nil"/>
            </w:pBdr>
            <w:tabs>
              <w:tab w:val="center" w:pos="4153"/>
              <w:tab w:val="right" w:pos="8306"/>
            </w:tabs>
            <w:jc w:val="center"/>
            <w:rPr>
              <w:i/>
              <w:iCs/>
              <w:color w:val="000000"/>
              <w:sz w:val="16"/>
              <w:szCs w:val="16"/>
            </w:rPr>
          </w:pPr>
          <w:r>
            <w:rPr>
              <w:noProof/>
            </w:rPr>
            <w:drawing>
              <wp:anchor distT="0" distB="0" distL="114300" distR="114300" simplePos="0" relativeHeight="251654144" behindDoc="0" locked="0" layoutInCell="1" hidden="0" allowOverlap="1" wp14:anchorId="7B173EF1" wp14:editId="45D699B6">
                <wp:simplePos x="0" y="0"/>
                <wp:positionH relativeFrom="column">
                  <wp:posOffset>-297177</wp:posOffset>
                </wp:positionH>
                <wp:positionV relativeFrom="paragraph">
                  <wp:posOffset>-187957</wp:posOffset>
                </wp:positionV>
                <wp:extent cx="952500" cy="72390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52500" cy="723900"/>
                        </a:xfrm>
                        <a:prstGeom prst="rect">
                          <a:avLst/>
                        </a:prstGeom>
                        <a:ln/>
                      </pic:spPr>
                    </pic:pic>
                  </a:graphicData>
                </a:graphic>
              </wp:anchor>
            </w:drawing>
          </w:r>
        </w:p>
      </w:tc>
      <w:tc>
        <w:tcPr>
          <w:tcW w:w="6129" w:type="dxa"/>
        </w:tcPr>
        <w:p w14:paraId="33C5A17B" w14:textId="77777777" w:rsidR="00F06D8C" w:rsidRDefault="00000000">
          <w:pPr>
            <w:pBdr>
              <w:top w:val="nil"/>
              <w:left w:val="nil"/>
              <w:bottom w:val="nil"/>
              <w:right w:val="nil"/>
              <w:between w:val="nil"/>
            </w:pBdr>
            <w:spacing w:line="288" w:lineRule="auto"/>
            <w:jc w:val="center"/>
            <w:rPr>
              <w:b/>
              <w:bCs/>
              <w:color w:val="000000"/>
              <w:sz w:val="26"/>
              <w:szCs w:val="26"/>
            </w:rPr>
          </w:pPr>
          <w:r>
            <w:rPr>
              <w:b/>
              <w:bCs/>
              <w:color w:val="000000"/>
              <w:sz w:val="26"/>
              <w:szCs w:val="26"/>
            </w:rPr>
            <w:t>MJP Journal of Education and Teaching and Learning</w:t>
          </w:r>
        </w:p>
        <w:p w14:paraId="3FD0C273" w14:textId="247A251A" w:rsidR="00F06D8C" w:rsidRDefault="00000000">
          <w:pPr>
            <w:pBdr>
              <w:top w:val="nil"/>
              <w:left w:val="nil"/>
              <w:bottom w:val="nil"/>
              <w:right w:val="nil"/>
              <w:between w:val="nil"/>
            </w:pBdr>
            <w:spacing w:line="288" w:lineRule="auto"/>
            <w:jc w:val="center"/>
            <w:rPr>
              <w:i/>
              <w:iCs/>
              <w:color w:val="000000"/>
              <w:sz w:val="20"/>
              <w:szCs w:val="20"/>
            </w:rPr>
          </w:pPr>
          <w:r>
            <w:rPr>
              <w:i/>
              <w:iCs/>
              <w:color w:val="000000"/>
              <w:sz w:val="20"/>
              <w:szCs w:val="20"/>
            </w:rPr>
            <w:t>Vol.</w:t>
          </w:r>
          <w:r>
            <w:rPr>
              <w:i/>
              <w:iCs/>
              <w:sz w:val="20"/>
              <w:szCs w:val="20"/>
            </w:rPr>
            <w:t xml:space="preserve"> 4</w:t>
          </w:r>
          <w:r>
            <w:rPr>
              <w:i/>
              <w:iCs/>
              <w:color w:val="000000"/>
              <w:sz w:val="20"/>
              <w:szCs w:val="20"/>
            </w:rPr>
            <w:t>, No. 1 (</w:t>
          </w:r>
          <w:r>
            <w:rPr>
              <w:i/>
              <w:iCs/>
              <w:sz w:val="20"/>
              <w:szCs w:val="20"/>
            </w:rPr>
            <w:t>2026</w:t>
          </w:r>
          <w:r>
            <w:rPr>
              <w:i/>
              <w:iCs/>
              <w:color w:val="000000"/>
              <w:sz w:val="20"/>
              <w:szCs w:val="20"/>
            </w:rPr>
            <w:t xml:space="preserve">): </w:t>
          </w:r>
          <w:r w:rsidR="00B10C74">
            <w:rPr>
              <w:i/>
              <w:iCs/>
              <w:color w:val="000000"/>
              <w:sz w:val="20"/>
              <w:szCs w:val="20"/>
            </w:rPr>
            <w:t>1304</w:t>
          </w:r>
          <w:r>
            <w:rPr>
              <w:i/>
              <w:iCs/>
              <w:color w:val="000000"/>
              <w:sz w:val="20"/>
              <w:szCs w:val="20"/>
            </w:rPr>
            <w:t xml:space="preserve"> – </w:t>
          </w:r>
          <w:r w:rsidR="00B10C74">
            <w:rPr>
              <w:i/>
              <w:iCs/>
              <w:color w:val="000000"/>
              <w:sz w:val="20"/>
              <w:szCs w:val="20"/>
            </w:rPr>
            <w:t>1315</w:t>
          </w:r>
        </w:p>
        <w:p w14:paraId="46C09CA7" w14:textId="77777777" w:rsidR="00F06D8C" w:rsidRDefault="00000000">
          <w:pPr>
            <w:pBdr>
              <w:top w:val="nil"/>
              <w:left w:val="nil"/>
              <w:bottom w:val="none" w:sz="0" w:space="0" w:color="000000"/>
              <w:right w:val="nil"/>
              <w:between w:val="nil"/>
            </w:pBdr>
            <w:tabs>
              <w:tab w:val="center" w:pos="4153"/>
              <w:tab w:val="right" w:pos="8306"/>
            </w:tabs>
            <w:jc w:val="center"/>
            <w:rPr>
              <w:i/>
              <w:iCs/>
              <w:color w:val="000000"/>
              <w:sz w:val="16"/>
              <w:szCs w:val="16"/>
            </w:rPr>
          </w:pPr>
          <w:r>
            <w:rPr>
              <w:i/>
              <w:iCs/>
              <w:color w:val="000000"/>
              <w:sz w:val="20"/>
              <w:szCs w:val="20"/>
            </w:rPr>
            <w:t>https://jurnalilmiah.co.id/index.php/MJPJETL</w:t>
          </w:r>
        </w:p>
      </w:tc>
      <w:tc>
        <w:tcPr>
          <w:tcW w:w="1448" w:type="dxa"/>
        </w:tcPr>
        <w:p w14:paraId="66469B91" w14:textId="77777777" w:rsidR="00F06D8C" w:rsidRDefault="00000000">
          <w:pPr>
            <w:pBdr>
              <w:top w:val="nil"/>
              <w:left w:val="nil"/>
              <w:bottom w:val="none" w:sz="0" w:space="0" w:color="000000"/>
              <w:right w:val="nil"/>
              <w:between w:val="nil"/>
            </w:pBdr>
            <w:tabs>
              <w:tab w:val="center" w:pos="4153"/>
              <w:tab w:val="right" w:pos="8306"/>
            </w:tabs>
            <w:jc w:val="center"/>
            <w:rPr>
              <w:i/>
              <w:iCs/>
              <w:color w:val="000000"/>
              <w:sz w:val="16"/>
              <w:szCs w:val="16"/>
            </w:rPr>
          </w:pPr>
          <w:r>
            <w:rPr>
              <w:noProof/>
            </w:rPr>
            <w:drawing>
              <wp:anchor distT="0" distB="0" distL="114300" distR="114300" simplePos="0" relativeHeight="251655168" behindDoc="0" locked="0" layoutInCell="1" hidden="0" allowOverlap="1" wp14:anchorId="54D3C630" wp14:editId="5B670EEE">
                <wp:simplePos x="0" y="0"/>
                <wp:positionH relativeFrom="column">
                  <wp:posOffset>367665</wp:posOffset>
                </wp:positionH>
                <wp:positionV relativeFrom="paragraph">
                  <wp:posOffset>-254632</wp:posOffset>
                </wp:positionV>
                <wp:extent cx="695325" cy="838200"/>
                <wp:effectExtent l="0" t="0" r="0" b="0"/>
                <wp:wrapNone/>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
                        <a:srcRect/>
                        <a:stretch>
                          <a:fillRect/>
                        </a:stretch>
                      </pic:blipFill>
                      <pic:spPr>
                        <a:xfrm>
                          <a:off x="0" y="0"/>
                          <a:ext cx="695325" cy="838200"/>
                        </a:xfrm>
                        <a:prstGeom prst="rect">
                          <a:avLst/>
                        </a:prstGeom>
                        <a:ln/>
                      </pic:spPr>
                    </pic:pic>
                  </a:graphicData>
                </a:graphic>
              </wp:anchor>
            </w:drawing>
          </w:r>
        </w:p>
      </w:tc>
    </w:tr>
  </w:tbl>
  <w:p w14:paraId="2D3BFCF8" w14:textId="77777777" w:rsidR="00F06D8C" w:rsidRDefault="00000000">
    <w:pPr>
      <w:pBdr>
        <w:top w:val="nil"/>
        <w:left w:val="nil"/>
        <w:bottom w:val="single" w:sz="6" w:space="1" w:color="000000"/>
        <w:right w:val="nil"/>
        <w:between w:val="nil"/>
      </w:pBdr>
      <w:tabs>
        <w:tab w:val="center" w:pos="4153"/>
        <w:tab w:val="right" w:pos="8306"/>
      </w:tabs>
      <w:rPr>
        <w:i/>
        <w:iCs/>
        <w:color w:val="000000"/>
        <w:sz w:val="16"/>
        <w:szCs w:val="16"/>
      </w:rPr>
    </w:pPr>
    <w:r>
      <w:rPr>
        <w:i/>
        <w:iCs/>
        <w:color w:val="000000"/>
        <w:sz w:val="16"/>
        <w:szCs w:val="16"/>
      </w:rPr>
      <w:pict w14:anchorId="1BB4A5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alt="" style="position:absolute;left:0;text-align:left;margin-left:.75pt;margin-top:119.9pt;width:450.9pt;height:357.7pt;z-index:-251659264;mso-position-horizontal:absolute;mso-position-horizontal-relative:margin;mso-position-vertical:absolute;mso-position-vertical-relative:margin">
          <v:imagedata r:id="rId3" o:title="image8"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A0C9" w14:textId="77777777" w:rsidR="00F06D8C"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1DA48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left:0;text-align:left;margin-left:0;margin-top:0;width:480.8pt;height:328.65pt;z-index:-251658240;mso-position-horizontal:center;mso-position-horizontal-relative:margin;mso-position-vertical:center;mso-position-vertical-relative:margin">
          <v:imagedata r:id="rId1" o:title="image8"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0201" w14:textId="77777777" w:rsidR="00F06D8C"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4B774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left:0;text-align:left;margin-left:0;margin-top:0;width:480.8pt;height:328.65pt;z-index:-251655168;mso-position-horizontal:center;mso-position-horizontal-relative:margin;mso-position-vertical:center;mso-position-vertical-relative:margin">
          <v:imagedata r:id="rId1" o:title="image8"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92ED" w14:textId="77777777" w:rsidR="00F06D8C" w:rsidRDefault="00F06D8C">
    <w:pPr>
      <w:pBdr>
        <w:top w:val="nil"/>
        <w:left w:val="nil"/>
        <w:bottom w:val="nil"/>
        <w:right w:val="nil"/>
        <w:between w:val="nil"/>
      </w:pBdr>
      <w:spacing w:line="276" w:lineRule="auto"/>
      <w:jc w:val="left"/>
      <w:rPr>
        <w:color w:val="000000"/>
      </w:rPr>
    </w:pPr>
  </w:p>
  <w:tbl>
    <w:tblPr>
      <w:tblStyle w:val="a4"/>
      <w:tblW w:w="9639" w:type="dxa"/>
      <w:tblInd w:w="0" w:type="dxa"/>
      <w:tblLayout w:type="fixed"/>
      <w:tblLook w:val="0400" w:firstRow="0" w:lastRow="0" w:firstColumn="0" w:lastColumn="0" w:noHBand="0" w:noVBand="1"/>
    </w:tblPr>
    <w:tblGrid>
      <w:gridCol w:w="5016"/>
      <w:gridCol w:w="4623"/>
    </w:tblGrid>
    <w:tr w:rsidR="00F06D8C" w14:paraId="0C2EB6ED" w14:textId="77777777">
      <w:trPr>
        <w:trHeight w:val="510"/>
      </w:trPr>
      <w:tc>
        <w:tcPr>
          <w:tcW w:w="5016" w:type="dxa"/>
        </w:tcPr>
        <w:p w14:paraId="3D2B3403" w14:textId="77777777" w:rsidR="00F06D8C" w:rsidRDefault="00000000">
          <w:pPr>
            <w:pBdr>
              <w:top w:val="nil"/>
              <w:left w:val="nil"/>
              <w:bottom w:val="none" w:sz="0" w:space="0" w:color="000000"/>
              <w:right w:val="nil"/>
              <w:between w:val="nil"/>
            </w:pBdr>
            <w:tabs>
              <w:tab w:val="center" w:pos="4153"/>
              <w:tab w:val="right" w:pos="8306"/>
            </w:tabs>
            <w:rPr>
              <w:color w:val="000000"/>
              <w:sz w:val="20"/>
              <w:szCs w:val="20"/>
            </w:rPr>
          </w:pPr>
          <w:r>
            <w:rPr>
              <w:color w:val="000000"/>
              <w:sz w:val="20"/>
              <w:szCs w:val="20"/>
            </w:rPr>
            <w:t>E-ISSN: 2986-3015</w:t>
          </w:r>
        </w:p>
        <w:p w14:paraId="3D772D7C" w14:textId="77777777" w:rsidR="00F06D8C" w:rsidRDefault="00000000">
          <w:pPr>
            <w:pBdr>
              <w:top w:val="nil"/>
              <w:left w:val="nil"/>
              <w:bottom w:val="none" w:sz="0" w:space="0" w:color="000000"/>
              <w:right w:val="nil"/>
              <w:between w:val="nil"/>
            </w:pBdr>
            <w:tabs>
              <w:tab w:val="center" w:pos="4153"/>
              <w:tab w:val="right" w:pos="8306"/>
            </w:tabs>
            <w:rPr>
              <w:color w:val="000000"/>
              <w:sz w:val="20"/>
              <w:szCs w:val="20"/>
            </w:rPr>
          </w:pPr>
          <w:r>
            <w:rPr>
              <w:color w:val="000000"/>
              <w:sz w:val="20"/>
              <w:szCs w:val="20"/>
            </w:rPr>
            <w:t>P-ISSN: 2986-3791</w:t>
          </w:r>
        </w:p>
      </w:tc>
      <w:tc>
        <w:tcPr>
          <w:tcW w:w="4623" w:type="dxa"/>
        </w:tcPr>
        <w:p w14:paraId="2018B216" w14:textId="77777777" w:rsidR="00F06D8C" w:rsidRDefault="00000000">
          <w:pPr>
            <w:pBdr>
              <w:top w:val="nil"/>
              <w:left w:val="nil"/>
              <w:bottom w:val="none" w:sz="0" w:space="0" w:color="000000"/>
              <w:right w:val="nil"/>
              <w:between w:val="nil"/>
            </w:pBdr>
            <w:tabs>
              <w:tab w:val="center" w:pos="4153"/>
              <w:tab w:val="right" w:pos="8306"/>
            </w:tabs>
            <w:jc w:val="right"/>
            <w:rPr>
              <w:b/>
              <w:bCs/>
              <w:color w:val="000000"/>
              <w:sz w:val="20"/>
              <w:szCs w:val="20"/>
            </w:rPr>
          </w:pPr>
          <w:r>
            <w:rPr>
              <w:b/>
              <w:bCs/>
              <w:color w:val="000000"/>
              <w:sz w:val="20"/>
              <w:szCs w:val="20"/>
            </w:rPr>
            <w:t>MJP Journal of Education and Teaching and Learning</w:t>
          </w:r>
        </w:p>
        <w:p w14:paraId="6E74A6C5" w14:textId="77777777" w:rsidR="00F06D8C" w:rsidRDefault="00000000">
          <w:pPr>
            <w:pBdr>
              <w:top w:val="nil"/>
              <w:left w:val="nil"/>
              <w:bottom w:val="none" w:sz="0" w:space="0" w:color="000000"/>
              <w:right w:val="nil"/>
              <w:between w:val="nil"/>
            </w:pBdr>
            <w:tabs>
              <w:tab w:val="center" w:pos="4153"/>
              <w:tab w:val="right" w:pos="8306"/>
            </w:tabs>
            <w:jc w:val="right"/>
            <w:rPr>
              <w:color w:val="000000"/>
              <w:sz w:val="20"/>
              <w:szCs w:val="20"/>
            </w:rPr>
          </w:pPr>
          <w:r>
            <w:rPr>
              <w:color w:val="000000"/>
              <w:sz w:val="20"/>
              <w:szCs w:val="20"/>
            </w:rPr>
            <w:t>Vol.</w:t>
          </w:r>
          <w:r>
            <w:rPr>
              <w:sz w:val="20"/>
              <w:szCs w:val="20"/>
            </w:rPr>
            <w:t xml:space="preserve"> 4</w:t>
          </w:r>
          <w:r>
            <w:rPr>
              <w:color w:val="000000"/>
              <w:sz w:val="20"/>
              <w:szCs w:val="20"/>
            </w:rPr>
            <w:t xml:space="preserve">, No. 1, </w:t>
          </w:r>
          <w:r>
            <w:rPr>
              <w:sz w:val="20"/>
              <w:szCs w:val="20"/>
            </w:rPr>
            <w:t xml:space="preserve">July </w:t>
          </w:r>
          <w:r>
            <w:rPr>
              <w:color w:val="000000"/>
              <w:sz w:val="20"/>
              <w:szCs w:val="20"/>
            </w:rPr>
            <w:t>(</w:t>
          </w:r>
          <w:r>
            <w:rPr>
              <w:sz w:val="20"/>
              <w:szCs w:val="20"/>
            </w:rPr>
            <w:t>2026</w:t>
          </w:r>
          <w:r>
            <w:rPr>
              <w:color w:val="000000"/>
              <w:sz w:val="20"/>
              <w:szCs w:val="20"/>
            </w:rPr>
            <w:t>): start page–end page</w:t>
          </w:r>
        </w:p>
      </w:tc>
    </w:tr>
  </w:tbl>
  <w:p w14:paraId="772C502D" w14:textId="77777777" w:rsidR="00F06D8C" w:rsidRDefault="00F06D8C">
    <w:pPr>
      <w:pBdr>
        <w:top w:val="nil"/>
        <w:left w:val="nil"/>
        <w:bottom w:val="single" w:sz="6" w:space="1" w:color="000000"/>
        <w:right w:val="nil"/>
        <w:between w:val="nil"/>
      </w:pBdr>
      <w:tabs>
        <w:tab w:val="center" w:pos="4153"/>
        <w:tab w:val="right" w:pos="8306"/>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BFA5" w14:textId="77777777" w:rsidR="00F06D8C"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3A0166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 o:spid="_x0000_s1026" type="#_x0000_t75" alt="" style="position:absolute;left:0;text-align:left;margin-left:0;margin-top:0;width:480.8pt;height:328.65pt;z-index:-251656192;mso-position-horizontal:center;mso-position-horizontal-relative:margin;mso-position-vertical:center;mso-position-vertical-relative:margin">
          <v:imagedata r:id="rId1" o:title="image8"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D8C"/>
    <w:rsid w:val="000B7A35"/>
    <w:rsid w:val="000E7923"/>
    <w:rsid w:val="00110FEC"/>
    <w:rsid w:val="001442C7"/>
    <w:rsid w:val="00227881"/>
    <w:rsid w:val="00274EB4"/>
    <w:rsid w:val="002F096F"/>
    <w:rsid w:val="003736FC"/>
    <w:rsid w:val="00384DC4"/>
    <w:rsid w:val="003B0A8C"/>
    <w:rsid w:val="00420086"/>
    <w:rsid w:val="004E6530"/>
    <w:rsid w:val="004F7397"/>
    <w:rsid w:val="00511E12"/>
    <w:rsid w:val="005233C0"/>
    <w:rsid w:val="0055647B"/>
    <w:rsid w:val="005B1249"/>
    <w:rsid w:val="005C4832"/>
    <w:rsid w:val="00672C4C"/>
    <w:rsid w:val="0069438A"/>
    <w:rsid w:val="006E318D"/>
    <w:rsid w:val="006F0D44"/>
    <w:rsid w:val="00711A4C"/>
    <w:rsid w:val="00755EE6"/>
    <w:rsid w:val="008021F6"/>
    <w:rsid w:val="00876ED5"/>
    <w:rsid w:val="008E126A"/>
    <w:rsid w:val="00914FA5"/>
    <w:rsid w:val="00972965"/>
    <w:rsid w:val="00984B72"/>
    <w:rsid w:val="009C5FEB"/>
    <w:rsid w:val="00A13823"/>
    <w:rsid w:val="00A53699"/>
    <w:rsid w:val="00A64100"/>
    <w:rsid w:val="00AF1C17"/>
    <w:rsid w:val="00B10C74"/>
    <w:rsid w:val="00BA34DE"/>
    <w:rsid w:val="00BF1FCE"/>
    <w:rsid w:val="00BF3E24"/>
    <w:rsid w:val="00D64BFD"/>
    <w:rsid w:val="00DF374E"/>
    <w:rsid w:val="00DF6782"/>
    <w:rsid w:val="00E406C0"/>
    <w:rsid w:val="00E54D08"/>
    <w:rsid w:val="00E82D70"/>
    <w:rsid w:val="00E9477C"/>
    <w:rsid w:val="00EA4C3F"/>
    <w:rsid w:val="00ED5013"/>
    <w:rsid w:val="00ED6E03"/>
    <w:rsid w:val="00EF1A1C"/>
    <w:rsid w:val="00F06D8C"/>
    <w:rsid w:val="00F2525E"/>
    <w:rsid w:val="00F40FC6"/>
    <w:rsid w:val="00F7486A"/>
    <w:rsid w:val="00F96CF2"/>
    <w:rsid w:val="00FA6D31"/>
    <w:rsid w:val="00FB0F90"/>
    <w:rsid w:val="00FF054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228E4"/>
  <w15:docId w15:val="{4362A9B6-8EB8-4E18-85E9-AAFAD5604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18"/>
        <w:szCs w:val="18"/>
        <w:lang w:val="en" w:eastAsia="en-ID"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115" w:type="dxa"/>
        <w:left w:w="115" w:type="dxa"/>
        <w:bottom w:w="115" w:type="dxa"/>
        <w:right w:w="115" w:type="dxa"/>
      </w:tblCellMar>
    </w:tblPr>
  </w:style>
  <w:style w:type="table" w:customStyle="1" w:styleId="a6">
    <w:basedOn w:val="TableNormal0"/>
    <w:tblPr>
      <w:tblStyleRowBandSize w:val="1"/>
      <w:tblStyleColBandSize w:val="1"/>
      <w:tblCellMar>
        <w:top w:w="115" w:type="dxa"/>
        <w:left w:w="115" w:type="dxa"/>
        <w:bottom w:w="115" w:type="dxa"/>
        <w:right w:w="115" w:type="dxa"/>
      </w:tblCellMar>
    </w:tblPr>
  </w:style>
  <w:style w:type="paragraph" w:styleId="Footer">
    <w:name w:val="footer"/>
    <w:basedOn w:val="Normal"/>
    <w:link w:val="FooterChar"/>
    <w:uiPriority w:val="99"/>
    <w:unhideWhenUsed/>
    <w:rsid w:val="00D64BFD"/>
    <w:pPr>
      <w:tabs>
        <w:tab w:val="center" w:pos="4513"/>
        <w:tab w:val="right" w:pos="9026"/>
      </w:tabs>
    </w:pPr>
  </w:style>
  <w:style w:type="character" w:customStyle="1" w:styleId="FooterChar">
    <w:name w:val="Footer Char"/>
    <w:basedOn w:val="DefaultParagraphFont"/>
    <w:link w:val="Footer"/>
    <w:uiPriority w:val="99"/>
    <w:rsid w:val="00D64BFD"/>
  </w:style>
  <w:style w:type="character" w:styleId="Hyperlink">
    <w:name w:val="Hyperlink"/>
    <w:basedOn w:val="DefaultParagraphFont"/>
    <w:uiPriority w:val="99"/>
    <w:unhideWhenUsed/>
    <w:rsid w:val="00D64BFD"/>
    <w:rPr>
      <w:color w:val="0000FF" w:themeColor="hyperlink"/>
      <w:u w:val="single"/>
    </w:rPr>
  </w:style>
  <w:style w:type="character" w:styleId="UnresolvedMention">
    <w:name w:val="Unresolved Mention"/>
    <w:basedOn w:val="DefaultParagraphFont"/>
    <w:uiPriority w:val="99"/>
    <w:semiHidden/>
    <w:unhideWhenUsed/>
    <w:rsid w:val="00D64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E5E8ADD-F66F-446C-886C-080211E67FDC}">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asdY4fFXiof1S9UEp2c1adHwGg==">CgMxLjA4AHIhMUN4QXlFOHZkQ1o1cnl5dGNjendsdDVybjZ0ZTJaUndO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E1E0AA-4EFD-4838-A1EB-A6B57271C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21698</Words>
  <Characters>123685</Characters>
  <Application>Microsoft Office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id</dc:creator>
  <cp:keywords>, docId:6F17EC6687140BB1AA5F56BD25710E4D</cp:keywords>
  <cp:lastModifiedBy>asus id</cp:lastModifiedBy>
  <cp:revision>2</cp:revision>
  <cp:lastPrinted>2026-10-02T00:39:00Z</cp:lastPrinted>
  <dcterms:created xsi:type="dcterms:W3CDTF">2026-10-29T07:48:00Z</dcterms:created>
  <dcterms:modified xsi:type="dcterms:W3CDTF">2026-10-29T07:48:00Z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18th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(author-date/Harvard)</vt:lpwstr>
  </property>
  <property fmtid="{D5CDD505-2E9C-101B-9397-08002B2CF9AE}" pid="16" name="Mendeley Recent Style Id 7_1">
    <vt:lpwstr>http://www.zotero.org/styles/ieee</vt:lpwstr>
  </property>
  <property fmtid="{D5CDD505-2E9C-101B-9397-08002B2CF9AE}" pid="17" name="Mendeley Recent Style Name 7_1">
    <vt:lpwstr>IEEE Reference Guide version 11.29.2023</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79e2260f-40c7-380a-b80c-12d8a09629be</vt:lpwstr>
  </property>
  <property fmtid="{D5CDD505-2E9C-101B-9397-08002B2CF9AE}" pid="24" name="Mendeley Citation Style_1">
    <vt:lpwstr>http://www.zotero.org/styles/ieee</vt:lpwstr>
  </property>
</Properties>
</file>